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E27A" w14:textId="77777777" w:rsidR="00066D0E" w:rsidRDefault="00066D0E" w:rsidP="003F59E5"/>
    <w:p w14:paraId="3DFA4D05" w14:textId="77777777" w:rsidR="00F73CFD" w:rsidRDefault="00F73CFD" w:rsidP="00F73CFD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w14:paraId="46698578" w14:textId="77777777" w:rsidR="00DE5343" w:rsidRDefault="00F73CFD" w:rsidP="00C318A3">
      <w:pPr>
        <w:spacing w:after="0"/>
        <w:ind w:left="5760" w:firstLine="720"/>
        <w:jc w:val="right"/>
      </w:pPr>
      <w:r w:rsidRPr="00F73CFD">
        <w:rPr>
          <w:rFonts w:ascii="Century Gothic" w:hAnsi="Century Gothic" w:cs="Arial"/>
          <w:szCs w:val="24"/>
        </w:rPr>
        <w:tab/>
      </w:r>
      <w:r w:rsidRPr="00F73CFD">
        <w:rPr>
          <w:rFonts w:ascii="Century Gothic" w:hAnsi="Century Gothic" w:cs="Arial"/>
          <w:szCs w:val="24"/>
        </w:rPr>
        <w:tab/>
      </w:r>
    </w:p>
    <w:p w14:paraId="59321F77" w14:textId="77777777" w:rsidR="00540614" w:rsidRDefault="00553F92" w:rsidP="00540614">
      <w:pPr>
        <w:jc w:val="center"/>
        <w:rPr>
          <w:rFonts w:ascii="Tw Cen MT" w:hAnsi="Tw Cen MT"/>
          <w:b/>
          <w:bCs/>
          <w:sz w:val="28"/>
          <w:szCs w:val="28"/>
        </w:rPr>
      </w:pPr>
      <w:r w:rsidRPr="00553F92">
        <w:tab/>
      </w:r>
      <w:r w:rsidR="00540614" w:rsidRPr="00BC2B74">
        <w:rPr>
          <w:rFonts w:ascii="Tw Cen MT" w:hAnsi="Tw Cen MT"/>
          <w:b/>
          <w:bCs/>
          <w:sz w:val="28"/>
          <w:szCs w:val="28"/>
        </w:rPr>
        <w:t xml:space="preserve">Tájékoztató </w:t>
      </w:r>
      <w:r w:rsidR="00540614">
        <w:rPr>
          <w:rFonts w:ascii="Tw Cen MT" w:hAnsi="Tw Cen MT"/>
          <w:b/>
          <w:bCs/>
          <w:sz w:val="28"/>
          <w:szCs w:val="28"/>
        </w:rPr>
        <w:t>a PTE MIK M</w:t>
      </w:r>
      <w:r w:rsidR="00540614" w:rsidRPr="00BC2B74">
        <w:rPr>
          <w:rFonts w:ascii="Tw Cen MT" w:hAnsi="Tw Cen MT"/>
          <w:b/>
          <w:bCs/>
          <w:sz w:val="28"/>
          <w:szCs w:val="28"/>
        </w:rPr>
        <w:t>űszaki mérnökasszisztens hallgató</w:t>
      </w:r>
      <w:r w:rsidR="00540614">
        <w:rPr>
          <w:rFonts w:ascii="Tw Cen MT" w:hAnsi="Tw Cen MT"/>
          <w:b/>
          <w:bCs/>
          <w:sz w:val="28"/>
          <w:szCs w:val="28"/>
        </w:rPr>
        <w:t>i</w:t>
      </w:r>
      <w:r w:rsidR="00540614" w:rsidRPr="00BC2B74">
        <w:rPr>
          <w:rFonts w:ascii="Tw Cen MT" w:hAnsi="Tw Cen MT"/>
          <w:b/>
          <w:bCs/>
          <w:sz w:val="28"/>
          <w:szCs w:val="28"/>
        </w:rPr>
        <w:t xml:space="preserve"> számára</w:t>
      </w:r>
    </w:p>
    <w:p w14:paraId="72EDEE05" w14:textId="77777777" w:rsidR="00540614" w:rsidRPr="00361D72" w:rsidRDefault="00540614" w:rsidP="00361D72">
      <w:pPr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 xml:space="preserve">a </w:t>
      </w:r>
      <w:r w:rsidRPr="00BC2B74">
        <w:rPr>
          <w:rFonts w:ascii="Tw Cen MT" w:hAnsi="Tw Cen MT"/>
          <w:b/>
          <w:bCs/>
          <w:sz w:val="28"/>
          <w:szCs w:val="28"/>
        </w:rPr>
        <w:t>képzés befejezésével kapcsolatos tudnivalókról</w:t>
      </w:r>
    </w:p>
    <w:p w14:paraId="2CD13532" w14:textId="77777777" w:rsidR="00540614" w:rsidRPr="00BC2B74" w:rsidRDefault="00540614" w:rsidP="00540614">
      <w:pPr>
        <w:rPr>
          <w:rFonts w:ascii="Tw Cen MT" w:hAnsi="Tw Cen MT"/>
          <w:szCs w:val="24"/>
        </w:rPr>
      </w:pPr>
    </w:p>
    <w:p w14:paraId="70F290E8" w14:textId="77777777" w:rsidR="00540614" w:rsidRPr="00BC2B74" w:rsidRDefault="00540614" w:rsidP="00540614">
      <w:pPr>
        <w:pStyle w:val="Listaszerbekezds"/>
        <w:numPr>
          <w:ilvl w:val="0"/>
          <w:numId w:val="5"/>
        </w:numPr>
        <w:spacing w:after="160" w:line="259" w:lineRule="auto"/>
        <w:rPr>
          <w:rFonts w:ascii="Tw Cen MT" w:hAnsi="Tw Cen MT"/>
          <w:b/>
          <w:bCs/>
          <w:szCs w:val="24"/>
        </w:rPr>
      </w:pPr>
      <w:r w:rsidRPr="00BC2B74">
        <w:rPr>
          <w:rFonts w:ascii="Tw Cen MT" w:hAnsi="Tw Cen MT"/>
          <w:b/>
          <w:bCs/>
          <w:szCs w:val="24"/>
        </w:rPr>
        <w:t xml:space="preserve">Szakmai gyakorlóhely </w:t>
      </w:r>
    </w:p>
    <w:p w14:paraId="24AE1B01" w14:textId="23BB5648" w:rsidR="00361D72" w:rsidRPr="00BC2B7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 xml:space="preserve">A 4. félév képzési helyéül a hallgatónak szakmai </w:t>
      </w:r>
      <w:proofErr w:type="spellStart"/>
      <w:r w:rsidRPr="00BC2B74">
        <w:rPr>
          <w:rFonts w:ascii="Tw Cen MT" w:hAnsi="Tw Cen MT"/>
          <w:szCs w:val="24"/>
        </w:rPr>
        <w:t>gyakorlóhelyet</w:t>
      </w:r>
      <w:proofErr w:type="spellEnd"/>
      <w:r w:rsidRPr="00BC2B74">
        <w:rPr>
          <w:rFonts w:ascii="Tw Cen MT" w:hAnsi="Tw Cen MT"/>
          <w:szCs w:val="24"/>
        </w:rPr>
        <w:t xml:space="preserve"> kell választania.</w:t>
      </w:r>
      <w:r>
        <w:rPr>
          <w:rFonts w:ascii="Tw Cen MT" w:hAnsi="Tw Cen MT"/>
          <w:szCs w:val="24"/>
        </w:rPr>
        <w:t xml:space="preserve"> </w:t>
      </w:r>
      <w:r w:rsidR="00361D72" w:rsidRPr="00302602">
        <w:rPr>
          <w:rFonts w:ascii="Tw Cen MT" w:hAnsi="Tw Cen MT"/>
          <w:szCs w:val="24"/>
          <w:u w:val="single"/>
        </w:rPr>
        <w:t xml:space="preserve">A gyakorlati félév megkezdésének feltétele legalább </w:t>
      </w:r>
      <w:r w:rsidR="00302602" w:rsidRPr="00302602">
        <w:rPr>
          <w:rFonts w:ascii="Tw Cen MT" w:hAnsi="Tw Cen MT"/>
          <w:szCs w:val="24"/>
          <w:u w:val="single"/>
        </w:rPr>
        <w:t>80</w:t>
      </w:r>
      <w:r w:rsidR="00361D72" w:rsidRPr="00302602">
        <w:rPr>
          <w:rFonts w:ascii="Tw Cen MT" w:hAnsi="Tw Cen MT"/>
          <w:szCs w:val="24"/>
          <w:u w:val="single"/>
        </w:rPr>
        <w:t xml:space="preserve"> kredit megszerzése a képzésben</w:t>
      </w:r>
      <w:r w:rsidR="00361D72">
        <w:rPr>
          <w:rFonts w:ascii="Tw Cen MT" w:hAnsi="Tw Cen MT"/>
          <w:szCs w:val="24"/>
        </w:rPr>
        <w:t xml:space="preserve">. A gyakorlóhely választásról </w:t>
      </w:r>
      <w:r>
        <w:rPr>
          <w:rFonts w:ascii="Tw Cen MT" w:hAnsi="Tw Cen MT"/>
          <w:szCs w:val="24"/>
        </w:rPr>
        <w:t xml:space="preserve">egyeztessenek legkésőbb </w:t>
      </w:r>
      <w:r w:rsidR="00361D72">
        <w:rPr>
          <w:rFonts w:ascii="Tw Cen MT" w:hAnsi="Tw Cen MT"/>
          <w:szCs w:val="24"/>
        </w:rPr>
        <w:t>a szakmai gyakorlatot megelőző félév</w:t>
      </w:r>
      <w:r w:rsidR="00AE365A">
        <w:rPr>
          <w:rFonts w:ascii="Tw Cen MT" w:hAnsi="Tw Cen MT"/>
          <w:szCs w:val="24"/>
        </w:rPr>
        <w:t xml:space="preserve"> 12. oktatási hetéig</w:t>
      </w:r>
      <w:r w:rsidR="00361D72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a specializációjuk</w:t>
      </w:r>
      <w:r w:rsidRPr="00BC2B74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 xml:space="preserve">tanszékével, a specializáció-felelőssel (neveket ld. az </w:t>
      </w:r>
      <w:r>
        <w:rPr>
          <w:rStyle w:val="Lbjegyzet-hivatkozs"/>
          <w:rFonts w:ascii="Tw Cen MT" w:hAnsi="Tw Cen MT"/>
          <w:szCs w:val="24"/>
        </w:rPr>
        <w:footnoteReference w:id="1"/>
      </w:r>
      <w:r>
        <w:rPr>
          <w:rFonts w:ascii="Tw Cen MT" w:hAnsi="Tw Cen MT"/>
          <w:szCs w:val="24"/>
        </w:rPr>
        <w:t xml:space="preserve"> lábjegyzetben). </w:t>
      </w:r>
      <w:r w:rsidRPr="00BC2B74">
        <w:rPr>
          <w:rFonts w:ascii="Tw Cen MT" w:hAnsi="Tw Cen MT"/>
          <w:szCs w:val="24"/>
        </w:rPr>
        <w:t xml:space="preserve">A szakmai gyakorlóhely és a Pécsi Tudományegyetem között együttműködési megállapodást kell kötni a hatályos blanketta szerződés szerinti tartalommal; jelenleg releváns a 8/2017. számú kancellári utasítás mellékletét képező </w:t>
      </w:r>
      <w:r>
        <w:rPr>
          <w:rFonts w:ascii="Tw Cen MT" w:hAnsi="Tw Cen MT"/>
          <w:szCs w:val="24"/>
        </w:rPr>
        <w:t>blanketta:</w:t>
      </w:r>
      <w:r w:rsidRPr="00BC2B74">
        <w:rPr>
          <w:rFonts w:ascii="Tw Cen MT" w:hAnsi="Tw Cen MT"/>
          <w:szCs w:val="24"/>
        </w:rPr>
        <w:t xml:space="preserve"> „SZAKMAI GYAKORLAT Együttmű</w:t>
      </w:r>
      <w:r>
        <w:rPr>
          <w:rFonts w:ascii="Tw Cen MT" w:hAnsi="Tw Cen MT"/>
          <w:szCs w:val="24"/>
        </w:rPr>
        <w:t>ködési megállapodás szakmai gyak</w:t>
      </w:r>
      <w:r w:rsidRPr="00BC2B74">
        <w:rPr>
          <w:rFonts w:ascii="Tw Cen MT" w:hAnsi="Tw Cen MT"/>
          <w:szCs w:val="24"/>
        </w:rPr>
        <w:t>orlat tárgyában”.</w:t>
      </w:r>
      <w:r w:rsidR="00AE365A">
        <w:rPr>
          <w:rFonts w:ascii="Tw Cen MT" w:hAnsi="Tw Cen MT"/>
          <w:szCs w:val="24"/>
        </w:rPr>
        <w:t xml:space="preserve">  </w:t>
      </w:r>
      <w:r w:rsidR="00361D72">
        <w:rPr>
          <w:rFonts w:ascii="Tw Cen MT" w:hAnsi="Tw Cen MT"/>
          <w:szCs w:val="24"/>
        </w:rPr>
        <w:t xml:space="preserve">A gyakorlati félév előtt egy héttel már rendelkezzenek mindkét fél (Gyakorlóhely és PTE) által aláírt szerződéssel. </w:t>
      </w:r>
    </w:p>
    <w:p w14:paraId="3B449772" w14:textId="77777777" w:rsidR="00540614" w:rsidRPr="00BC2B7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A szakmai gyakorlóhelyen elvégzendő feladatok célja:</w:t>
      </w:r>
    </w:p>
    <w:p w14:paraId="5172BD71" w14:textId="77777777" w:rsidR="00540614" w:rsidRPr="00BC2B7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- az elméleti és gyakorlati ismeretek összekapcsolása,</w:t>
      </w:r>
    </w:p>
    <w:p w14:paraId="39DA6767" w14:textId="77777777" w:rsidR="00540614" w:rsidRPr="00BC2B7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- a szakma gyakorlásához szükséges munkavállalói kompetenciák munkafolyamatok</w:t>
      </w:r>
      <w:r>
        <w:rPr>
          <w:rFonts w:ascii="Tw Cen MT" w:hAnsi="Tw Cen MT"/>
          <w:szCs w:val="24"/>
        </w:rPr>
        <w:t xml:space="preserve"> sorá</w:t>
      </w:r>
      <w:r w:rsidRPr="00BC2B74">
        <w:rPr>
          <w:rFonts w:ascii="Tw Cen MT" w:hAnsi="Tw Cen MT"/>
          <w:szCs w:val="24"/>
        </w:rPr>
        <w:t xml:space="preserve">n történő fejlesztése, </w:t>
      </w:r>
    </w:p>
    <w:p w14:paraId="0ABD9B9C" w14:textId="77777777" w:rsidR="00540614" w:rsidRPr="00BC2B7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-</w:t>
      </w:r>
      <w:r w:rsidR="00AE365A">
        <w:rPr>
          <w:rFonts w:ascii="Tw Cen MT" w:hAnsi="Tw Cen MT"/>
          <w:szCs w:val="24"/>
        </w:rPr>
        <w:t xml:space="preserve"> </w:t>
      </w:r>
      <w:r w:rsidRPr="00BC2B74">
        <w:rPr>
          <w:rFonts w:ascii="Tw Cen MT" w:hAnsi="Tw Cen MT"/>
          <w:szCs w:val="24"/>
        </w:rPr>
        <w:t>az anyag-eszköz-technológia ismeretek és gyakorlati jártasságok fejlesztése,</w:t>
      </w:r>
    </w:p>
    <w:p w14:paraId="27076433" w14:textId="77777777" w:rsidR="00540614" w:rsidRPr="00BC2B7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- a munkafolyamatokban a személyi kapcsolatok és együttműködés, feladatmegoldásokban az értékelő és önértékelő magatartás fejlesztése,</w:t>
      </w:r>
    </w:p>
    <w:p w14:paraId="619BB8AA" w14:textId="77777777" w:rsidR="00540614" w:rsidRPr="00BC2B7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- az innovációs készség fejlesztése.</w:t>
      </w:r>
    </w:p>
    <w:p w14:paraId="2E083E2E" w14:textId="77777777" w:rsidR="0054061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Az összefüggő szakmai gyakorlat időtartama egy félév, 14 hét / 560 óra.</w:t>
      </w:r>
    </w:p>
    <w:p w14:paraId="0D463E2F" w14:textId="77777777" w:rsidR="00540614" w:rsidRDefault="00540614" w:rsidP="00540614">
      <w:pPr>
        <w:rPr>
          <w:rFonts w:ascii="Tw Cen MT" w:hAnsi="Tw Cen MT"/>
          <w:szCs w:val="24"/>
        </w:rPr>
      </w:pPr>
    </w:p>
    <w:p w14:paraId="5ACC51E3" w14:textId="77777777" w:rsidR="00540614" w:rsidRPr="00491A73" w:rsidRDefault="00540614" w:rsidP="00540614">
      <w:pPr>
        <w:pStyle w:val="Listaszerbekezds"/>
        <w:numPr>
          <w:ilvl w:val="0"/>
          <w:numId w:val="5"/>
        </w:numPr>
        <w:spacing w:after="160" w:line="259" w:lineRule="auto"/>
        <w:rPr>
          <w:rFonts w:ascii="Tw Cen MT" w:hAnsi="Tw Cen MT"/>
          <w:b/>
          <w:bCs/>
          <w:szCs w:val="24"/>
        </w:rPr>
      </w:pPr>
      <w:r w:rsidRPr="00491A73">
        <w:rPr>
          <w:rFonts w:ascii="Tw Cen MT" w:hAnsi="Tw Cen MT"/>
          <w:b/>
          <w:bCs/>
          <w:szCs w:val="24"/>
        </w:rPr>
        <w:t>Szakmai félév teljesítése</w:t>
      </w:r>
    </w:p>
    <w:p w14:paraId="6B6E4FDF" w14:textId="77777777" w:rsidR="0054061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 xml:space="preserve">A szakmai gyakorlat féléve almodulokból áll, amelyek konkrét tartalma a gyakorlóhellyel egyeztetve kerül kialakításra. Az egyes almodulok keretében elvégzett feladatokról a hallgatónak munkanaplót kell vezetnie, beszámolót kell készítenie, melyekre az oktatási intézménytől részérdemjegyeket kap. Ezek a beszámolók képezik a záródolgozat alapját, amely záródolgozat beadása </w:t>
      </w:r>
      <w:r>
        <w:rPr>
          <w:rFonts w:ascii="Tw Cen MT" w:hAnsi="Tw Cen MT"/>
          <w:szCs w:val="24"/>
        </w:rPr>
        <w:t xml:space="preserve">és megvédése </w:t>
      </w:r>
      <w:r w:rsidRPr="00BC2B74">
        <w:rPr>
          <w:rFonts w:ascii="Tw Cen MT" w:hAnsi="Tw Cen MT"/>
          <w:szCs w:val="24"/>
        </w:rPr>
        <w:t>a képzés befejezéséhez szükséges.</w:t>
      </w:r>
    </w:p>
    <w:p w14:paraId="01FB191F" w14:textId="77777777" w:rsidR="00540614" w:rsidRDefault="00540614" w:rsidP="00540614">
      <w:pPr>
        <w:rPr>
          <w:rFonts w:ascii="Tw Cen MT" w:hAnsi="Tw Cen MT"/>
          <w:szCs w:val="24"/>
        </w:rPr>
      </w:pPr>
    </w:p>
    <w:p w14:paraId="18FF7E86" w14:textId="77777777" w:rsidR="00540614" w:rsidRDefault="00540614" w:rsidP="00540614">
      <w:pPr>
        <w:rPr>
          <w:rFonts w:ascii="Tw Cen MT" w:hAnsi="Tw Cen MT"/>
          <w:szCs w:val="24"/>
        </w:rPr>
      </w:pPr>
    </w:p>
    <w:p w14:paraId="1CA5A05E" w14:textId="77777777" w:rsidR="00540614" w:rsidRDefault="00540614" w:rsidP="00540614">
      <w:pPr>
        <w:rPr>
          <w:rFonts w:ascii="Tw Cen MT" w:hAnsi="Tw Cen MT"/>
          <w:szCs w:val="24"/>
        </w:rPr>
      </w:pPr>
    </w:p>
    <w:p w14:paraId="1905FDC8" w14:textId="77777777" w:rsidR="00AE365A" w:rsidRDefault="00AE365A" w:rsidP="00540614">
      <w:pPr>
        <w:rPr>
          <w:rFonts w:ascii="Tw Cen MT" w:hAnsi="Tw Cen MT"/>
          <w:szCs w:val="24"/>
        </w:rPr>
      </w:pPr>
    </w:p>
    <w:p w14:paraId="15E5AE03" w14:textId="77777777" w:rsidR="00540614" w:rsidRPr="00BC2B74" w:rsidRDefault="00540614" w:rsidP="00540614">
      <w:pPr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 xml:space="preserve">Az általános gépészet, komfortgépészet, elektrotechnika-elektronika, környezetvédelem-vízgazdálkodás, építő specializációk hallgatói számára szakmai gyakorlat féléve </w:t>
      </w:r>
      <w:r>
        <w:rPr>
          <w:rFonts w:ascii="Tw Cen MT" w:hAnsi="Tw Cen MT"/>
          <w:szCs w:val="24"/>
        </w:rPr>
        <w:t xml:space="preserve">során </w:t>
      </w:r>
      <w:r w:rsidRPr="00BC2B74">
        <w:rPr>
          <w:rFonts w:ascii="Tw Cen MT" w:hAnsi="Tw Cen MT"/>
          <w:szCs w:val="24"/>
        </w:rPr>
        <w:t>az alábbi almodulok teljesítése szükséges:</w:t>
      </w:r>
    </w:p>
    <w:p w14:paraId="27516017" w14:textId="77777777" w:rsidR="00540614" w:rsidRPr="00AE7F37" w:rsidRDefault="00540614" w:rsidP="00540614">
      <w:pPr>
        <w:numPr>
          <w:ilvl w:val="0"/>
          <w:numId w:val="6"/>
        </w:numPr>
        <w:suppressAutoHyphens/>
        <w:spacing w:before="60" w:after="0"/>
        <w:rPr>
          <w:rFonts w:ascii="Tw Cen MT" w:hAnsi="Tw Cen MT"/>
          <w:szCs w:val="24"/>
        </w:rPr>
      </w:pPr>
      <w:r w:rsidRPr="00AE7F37">
        <w:rPr>
          <w:rFonts w:ascii="Tw Cen MT" w:hAnsi="Tw Cen MT"/>
          <w:szCs w:val="24"/>
        </w:rPr>
        <w:t>Infrastruktúra és logisztikai folyamatok</w:t>
      </w:r>
    </w:p>
    <w:p w14:paraId="77E01244" w14:textId="77777777" w:rsidR="00540614" w:rsidRPr="00AE7F37" w:rsidRDefault="00540614" w:rsidP="00540614">
      <w:pPr>
        <w:numPr>
          <w:ilvl w:val="0"/>
          <w:numId w:val="6"/>
        </w:numPr>
        <w:suppressAutoHyphens/>
        <w:spacing w:before="60" w:after="0"/>
        <w:rPr>
          <w:rFonts w:ascii="Tw Cen MT" w:hAnsi="Tw Cen MT"/>
          <w:szCs w:val="24"/>
        </w:rPr>
      </w:pPr>
      <w:r w:rsidRPr="00AE7F37">
        <w:rPr>
          <w:rFonts w:ascii="Tw Cen MT" w:hAnsi="Tw Cen MT"/>
          <w:szCs w:val="24"/>
        </w:rPr>
        <w:t>Alkalmazott technológiák és gépek</w:t>
      </w:r>
    </w:p>
    <w:p w14:paraId="6A29B895" w14:textId="77777777" w:rsidR="00540614" w:rsidRPr="00AE7F37" w:rsidRDefault="00540614" w:rsidP="00540614">
      <w:pPr>
        <w:numPr>
          <w:ilvl w:val="0"/>
          <w:numId w:val="6"/>
        </w:numPr>
        <w:suppressAutoHyphens/>
        <w:spacing w:before="60" w:after="0"/>
        <w:rPr>
          <w:rFonts w:ascii="Tw Cen MT" w:hAnsi="Tw Cen MT"/>
          <w:szCs w:val="24"/>
        </w:rPr>
      </w:pPr>
      <w:r w:rsidRPr="00AE7F37">
        <w:rPr>
          <w:rFonts w:ascii="Tw Cen MT" w:hAnsi="Tw Cen MT"/>
          <w:szCs w:val="24"/>
        </w:rPr>
        <w:t>Anyagismeret, minőségbiztosítás</w:t>
      </w:r>
    </w:p>
    <w:p w14:paraId="5D9B0BF6" w14:textId="77777777" w:rsidR="00540614" w:rsidRPr="00BC2B74" w:rsidRDefault="00540614" w:rsidP="00540614">
      <w:pPr>
        <w:numPr>
          <w:ilvl w:val="0"/>
          <w:numId w:val="6"/>
        </w:numPr>
        <w:suppressAutoHyphens/>
        <w:spacing w:before="60" w:after="0"/>
        <w:rPr>
          <w:rFonts w:ascii="Tw Cen MT" w:hAnsi="Tw Cen MT"/>
          <w:szCs w:val="24"/>
        </w:rPr>
      </w:pPr>
      <w:r w:rsidRPr="00AE7F37">
        <w:rPr>
          <w:rFonts w:ascii="Tw Cen MT" w:hAnsi="Tw Cen MT"/>
          <w:szCs w:val="24"/>
        </w:rPr>
        <w:t>Gyártás, üzemeltetés, szolgáltatás</w:t>
      </w:r>
    </w:p>
    <w:p w14:paraId="2026C26C" w14:textId="74CFFFDA" w:rsidR="00540614" w:rsidRDefault="00540614" w:rsidP="00540614">
      <w:pPr>
        <w:numPr>
          <w:ilvl w:val="0"/>
          <w:numId w:val="6"/>
        </w:numPr>
        <w:suppressAutoHyphens/>
        <w:spacing w:before="60" w:after="0"/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Munkaszervezési- és pénzügyi folyamatok és menedzsment.</w:t>
      </w:r>
    </w:p>
    <w:p w14:paraId="6A97482D" w14:textId="14AD81F1" w:rsidR="002B275A" w:rsidRDefault="00C47829" w:rsidP="002B275A">
      <w:pPr>
        <w:suppressAutoHyphens/>
        <w:spacing w:before="60" w:after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Az e</w:t>
      </w:r>
      <w:r w:rsidR="002B275A">
        <w:rPr>
          <w:rFonts w:ascii="Tw Cen MT" w:hAnsi="Tw Cen MT"/>
          <w:szCs w:val="24"/>
        </w:rPr>
        <w:t>zeknek az almoduloknak megfelelő</w:t>
      </w:r>
      <w:r>
        <w:rPr>
          <w:rFonts w:ascii="Tw Cen MT" w:hAnsi="Tw Cen MT"/>
          <w:szCs w:val="24"/>
        </w:rPr>
        <w:t xml:space="preserve"> nevű</w:t>
      </w:r>
      <w:r w:rsidR="002B275A">
        <w:rPr>
          <w:rFonts w:ascii="Tw Cen MT" w:hAnsi="Tw Cen MT"/>
          <w:szCs w:val="24"/>
        </w:rPr>
        <w:t xml:space="preserve"> tantárgyak</w:t>
      </w:r>
      <w:r>
        <w:rPr>
          <w:rFonts w:ascii="Tw Cen MT" w:hAnsi="Tw Cen MT"/>
          <w:szCs w:val="24"/>
        </w:rPr>
        <w:t xml:space="preserve">at a </w:t>
      </w:r>
      <w:proofErr w:type="spellStart"/>
      <w:r>
        <w:rPr>
          <w:rFonts w:ascii="Tw Cen MT" w:hAnsi="Tw Cen MT"/>
          <w:szCs w:val="24"/>
        </w:rPr>
        <w:t>Neptunban</w:t>
      </w:r>
      <w:proofErr w:type="spellEnd"/>
      <w:r>
        <w:rPr>
          <w:rFonts w:ascii="Tw Cen MT" w:hAnsi="Tw Cen MT"/>
          <w:szCs w:val="24"/>
        </w:rPr>
        <w:t xml:space="preserve"> vegyék fel a</w:t>
      </w:r>
      <w:r w:rsidR="0022031E">
        <w:rPr>
          <w:rFonts w:ascii="Tw Cen MT" w:hAnsi="Tw Cen MT"/>
          <w:szCs w:val="24"/>
        </w:rPr>
        <w:t>nnak a félév</w:t>
      </w:r>
      <w:r w:rsidR="00F54E93">
        <w:rPr>
          <w:rFonts w:ascii="Tw Cen MT" w:hAnsi="Tw Cen MT"/>
          <w:szCs w:val="24"/>
        </w:rPr>
        <w:t>nek az elejé</w:t>
      </w:r>
      <w:r>
        <w:rPr>
          <w:rFonts w:ascii="Tw Cen MT" w:hAnsi="Tw Cen MT"/>
          <w:szCs w:val="24"/>
        </w:rPr>
        <w:t xml:space="preserve">n, amikor </w:t>
      </w:r>
      <w:r w:rsidR="00F54E93">
        <w:rPr>
          <w:rFonts w:ascii="Tw Cen MT" w:hAnsi="Tw Cen MT"/>
          <w:szCs w:val="24"/>
        </w:rPr>
        <w:t>teljesítik</w:t>
      </w:r>
      <w:r w:rsidR="00F54E93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a</w:t>
      </w:r>
      <w:r w:rsidR="0022031E">
        <w:rPr>
          <w:rFonts w:ascii="Tw Cen MT" w:hAnsi="Tw Cen MT"/>
          <w:szCs w:val="24"/>
        </w:rPr>
        <w:t xml:space="preserve"> féléves</w:t>
      </w:r>
      <w:r>
        <w:rPr>
          <w:rFonts w:ascii="Tw Cen MT" w:hAnsi="Tw Cen MT"/>
          <w:szCs w:val="24"/>
        </w:rPr>
        <w:t xml:space="preserve"> szakmai gyakorlat</w:t>
      </w:r>
      <w:r w:rsidR="0022031E">
        <w:rPr>
          <w:rFonts w:ascii="Tw Cen MT" w:hAnsi="Tw Cen MT"/>
          <w:szCs w:val="24"/>
        </w:rPr>
        <w:t>uka</w:t>
      </w:r>
      <w:r>
        <w:rPr>
          <w:rFonts w:ascii="Tw Cen MT" w:hAnsi="Tw Cen MT"/>
          <w:szCs w:val="24"/>
        </w:rPr>
        <w:t>t</w:t>
      </w:r>
      <w:r w:rsidR="0022031E">
        <w:rPr>
          <w:rFonts w:ascii="Tw Cen MT" w:hAnsi="Tw Cen MT"/>
          <w:szCs w:val="24"/>
        </w:rPr>
        <w:t>.</w:t>
      </w:r>
    </w:p>
    <w:p w14:paraId="09FD6BD9" w14:textId="77777777" w:rsidR="00540614" w:rsidRPr="00D137AE" w:rsidRDefault="00540614" w:rsidP="00540614">
      <w:pPr>
        <w:suppressAutoHyphens/>
        <w:spacing w:before="60" w:after="0"/>
        <w:rPr>
          <w:rFonts w:ascii="Tw Cen MT" w:hAnsi="Tw Cen MT"/>
          <w:sz w:val="16"/>
          <w:szCs w:val="16"/>
        </w:rPr>
      </w:pPr>
    </w:p>
    <w:p w14:paraId="5A1F29AA" w14:textId="314B1AA0" w:rsidR="00540614" w:rsidRDefault="00540614" w:rsidP="00540614">
      <w:pPr>
        <w:suppressAutoHyphens/>
        <w:spacing w:before="60" w:after="0"/>
        <w:rPr>
          <w:rFonts w:ascii="Tw Cen MT" w:hAnsi="Tw Cen MT"/>
          <w:szCs w:val="24"/>
        </w:rPr>
      </w:pPr>
      <w:r w:rsidRPr="00BC2B74">
        <w:rPr>
          <w:rFonts w:ascii="Tw Cen MT" w:hAnsi="Tw Cen MT"/>
          <w:szCs w:val="24"/>
        </w:rPr>
        <w:t>Az egyes almodulok</w:t>
      </w:r>
      <w:r w:rsidR="00D96335">
        <w:rPr>
          <w:rFonts w:ascii="Tw Cen MT" w:hAnsi="Tw Cen MT"/>
          <w:szCs w:val="24"/>
        </w:rPr>
        <w:t xml:space="preserve"> tantárgyi kódja,</w:t>
      </w:r>
      <w:r w:rsidRPr="00BC2B74">
        <w:rPr>
          <w:rFonts w:ascii="Tw Cen MT" w:hAnsi="Tw Cen MT"/>
          <w:szCs w:val="24"/>
        </w:rPr>
        <w:t xml:space="preserve"> időtartama</w:t>
      </w:r>
      <w:r>
        <w:rPr>
          <w:rFonts w:ascii="Tw Cen MT" w:hAnsi="Tw Cen MT"/>
          <w:szCs w:val="24"/>
        </w:rPr>
        <w:t>, kreditértéke</w:t>
      </w:r>
      <w:r w:rsidRPr="00BC2B74">
        <w:rPr>
          <w:rFonts w:ascii="Tw Cen MT" w:hAnsi="Tw Cen MT"/>
          <w:szCs w:val="24"/>
        </w:rPr>
        <w:t xml:space="preserve"> és az érintett almodulokról készítendő </w:t>
      </w:r>
      <w:r w:rsidR="00A64735">
        <w:rPr>
          <w:rFonts w:ascii="Tw Cen MT" w:hAnsi="Tw Cen MT"/>
          <w:szCs w:val="24"/>
        </w:rPr>
        <w:t xml:space="preserve">beszámolók </w:t>
      </w:r>
      <w:r w:rsidR="00D96335">
        <w:rPr>
          <w:rFonts w:ascii="Tw Cen MT" w:hAnsi="Tw Cen MT"/>
          <w:szCs w:val="24"/>
        </w:rPr>
        <w:t>feltöltésé</w:t>
      </w:r>
      <w:r w:rsidR="00A64735">
        <w:rPr>
          <w:rFonts w:ascii="Tw Cen MT" w:hAnsi="Tw Cen MT"/>
          <w:szCs w:val="24"/>
        </w:rPr>
        <w:t>n</w:t>
      </w:r>
      <w:r w:rsidR="00D96335">
        <w:rPr>
          <w:rFonts w:ascii="Tw Cen MT" w:hAnsi="Tw Cen MT"/>
          <w:szCs w:val="24"/>
        </w:rPr>
        <w:t>e</w:t>
      </w:r>
      <w:r w:rsidR="00A64735">
        <w:rPr>
          <w:rFonts w:ascii="Tw Cen MT" w:hAnsi="Tw Cen MT"/>
          <w:szCs w:val="24"/>
        </w:rPr>
        <w:t>k határideje</w:t>
      </w:r>
      <w:r w:rsidRPr="00BC2B74">
        <w:rPr>
          <w:rFonts w:ascii="Tw Cen MT" w:hAnsi="Tw Cen MT"/>
          <w:szCs w:val="24"/>
        </w:rPr>
        <w:t>:</w:t>
      </w:r>
    </w:p>
    <w:p w14:paraId="788E43AF" w14:textId="77777777" w:rsidR="00540614" w:rsidRPr="00D137AE" w:rsidRDefault="00540614" w:rsidP="00861CDF">
      <w:pPr>
        <w:suppressAutoHyphens/>
        <w:spacing w:before="60" w:after="0"/>
        <w:jc w:val="center"/>
        <w:rPr>
          <w:rFonts w:ascii="Tw Cen MT" w:hAnsi="Tw Cen MT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65"/>
        <w:gridCol w:w="722"/>
        <w:gridCol w:w="2110"/>
        <w:gridCol w:w="2812"/>
      </w:tblGrid>
      <w:tr w:rsidR="00540614" w:rsidRPr="00491A73" w14:paraId="1D51C4F4" w14:textId="77777777" w:rsidTr="00861CDF">
        <w:trPr>
          <w:trHeight w:val="576"/>
          <w:jc w:val="center"/>
        </w:trPr>
        <w:tc>
          <w:tcPr>
            <w:tcW w:w="3565" w:type="dxa"/>
            <w:noWrap/>
            <w:hideMark/>
          </w:tcPr>
          <w:p w14:paraId="04C7841E" w14:textId="77777777" w:rsidR="00540614" w:rsidRPr="001831F9" w:rsidRDefault="00540614" w:rsidP="0038520B">
            <w:pPr>
              <w:suppressAutoHyphens/>
              <w:spacing w:before="60"/>
              <w:rPr>
                <w:rFonts w:ascii="Tw Cen MT" w:hAnsi="Tw Cen MT"/>
                <w:b/>
                <w:bCs/>
              </w:rPr>
            </w:pPr>
            <w:r w:rsidRPr="001831F9">
              <w:rPr>
                <w:rFonts w:ascii="Tw Cen MT" w:hAnsi="Tw Cen MT"/>
                <w:b/>
                <w:bCs/>
              </w:rPr>
              <w:t>Almodul neve</w:t>
            </w:r>
          </w:p>
        </w:tc>
        <w:tc>
          <w:tcPr>
            <w:tcW w:w="722" w:type="dxa"/>
            <w:noWrap/>
            <w:hideMark/>
          </w:tcPr>
          <w:p w14:paraId="752429F8" w14:textId="54D49849" w:rsidR="00540614" w:rsidRPr="00A70CEA" w:rsidRDefault="00540614" w:rsidP="0038520B">
            <w:pPr>
              <w:suppressAutoHyphens/>
              <w:spacing w:before="60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70CEA">
              <w:rPr>
                <w:rFonts w:ascii="Tw Cen MT" w:hAnsi="Tw Cen MT"/>
                <w:b/>
                <w:bCs/>
                <w:sz w:val="18"/>
                <w:szCs w:val="18"/>
              </w:rPr>
              <w:t>Kredit</w:t>
            </w:r>
            <w:r w:rsidR="00A70CEA">
              <w:rPr>
                <w:rFonts w:ascii="Tw Cen MT" w:hAnsi="Tw Cen MT"/>
                <w:b/>
                <w:bCs/>
                <w:sz w:val="18"/>
                <w:szCs w:val="18"/>
              </w:rPr>
              <w:t>-</w:t>
            </w:r>
            <w:r w:rsidRPr="00A70CEA">
              <w:rPr>
                <w:rFonts w:ascii="Tw Cen MT" w:hAnsi="Tw Cen MT"/>
                <w:b/>
                <w:bCs/>
                <w:sz w:val="18"/>
                <w:szCs w:val="18"/>
              </w:rPr>
              <w:t>értéke</w:t>
            </w:r>
          </w:p>
        </w:tc>
        <w:tc>
          <w:tcPr>
            <w:tcW w:w="2110" w:type="dxa"/>
            <w:noWrap/>
            <w:hideMark/>
          </w:tcPr>
          <w:p w14:paraId="076AFC58" w14:textId="77777777" w:rsidR="00540614" w:rsidRPr="001831F9" w:rsidRDefault="00540614" w:rsidP="0038520B">
            <w:pPr>
              <w:suppressAutoHyphens/>
              <w:spacing w:before="60"/>
              <w:rPr>
                <w:rFonts w:ascii="Tw Cen MT" w:hAnsi="Tw Cen MT"/>
                <w:b/>
                <w:bCs/>
              </w:rPr>
            </w:pPr>
            <w:r w:rsidRPr="001831F9">
              <w:rPr>
                <w:rFonts w:ascii="Tw Cen MT" w:hAnsi="Tw Cen MT"/>
                <w:b/>
                <w:bCs/>
              </w:rPr>
              <w:t>Tanóraszáma</w:t>
            </w:r>
          </w:p>
        </w:tc>
        <w:tc>
          <w:tcPr>
            <w:tcW w:w="2812" w:type="dxa"/>
            <w:noWrap/>
            <w:hideMark/>
          </w:tcPr>
          <w:p w14:paraId="2E5F6927" w14:textId="77777777" w:rsidR="00540614" w:rsidRPr="001831F9" w:rsidRDefault="00540614" w:rsidP="0038520B">
            <w:pPr>
              <w:suppressAutoHyphens/>
              <w:spacing w:before="60"/>
              <w:rPr>
                <w:rFonts w:ascii="Tw Cen MT" w:hAnsi="Tw Cen MT"/>
                <w:b/>
                <w:bCs/>
              </w:rPr>
            </w:pPr>
            <w:r w:rsidRPr="001831F9">
              <w:rPr>
                <w:rFonts w:ascii="Tw Cen MT" w:hAnsi="Tw Cen MT"/>
                <w:b/>
                <w:bCs/>
              </w:rPr>
              <w:t>Beszámoló beadási határideje</w:t>
            </w:r>
          </w:p>
        </w:tc>
      </w:tr>
      <w:tr w:rsidR="00A70CEA" w:rsidRPr="00491A73" w14:paraId="191F5D47" w14:textId="77777777" w:rsidTr="00861CDF">
        <w:trPr>
          <w:trHeight w:val="510"/>
          <w:jc w:val="center"/>
        </w:trPr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FD7890" w14:textId="63AAE355" w:rsidR="00A70CEA" w:rsidRPr="001831F9" w:rsidRDefault="00A70CEA" w:rsidP="00A70CEA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Infrastruktúra és logisztikai folyamatok, MSF020MNMF</w:t>
            </w:r>
          </w:p>
        </w:tc>
        <w:tc>
          <w:tcPr>
            <w:tcW w:w="722" w:type="dxa"/>
            <w:hideMark/>
          </w:tcPr>
          <w:p w14:paraId="6B0727CB" w14:textId="77777777" w:rsidR="00A70CEA" w:rsidRPr="001831F9" w:rsidRDefault="00A70CEA" w:rsidP="00A70CEA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2</w:t>
            </w:r>
          </w:p>
        </w:tc>
        <w:tc>
          <w:tcPr>
            <w:tcW w:w="2110" w:type="dxa"/>
            <w:hideMark/>
          </w:tcPr>
          <w:p w14:paraId="0C8E7DC7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40 óra/félév; 1 hét</w:t>
            </w:r>
          </w:p>
        </w:tc>
        <w:tc>
          <w:tcPr>
            <w:tcW w:w="2812" w:type="dxa"/>
            <w:hideMark/>
          </w:tcPr>
          <w:p w14:paraId="517BE57A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2. oktatási hét szerdai napja</w:t>
            </w:r>
          </w:p>
        </w:tc>
      </w:tr>
      <w:tr w:rsidR="00A70CEA" w:rsidRPr="00491A73" w14:paraId="3D395655" w14:textId="77777777" w:rsidTr="00861CDF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4A2C1B" w14:textId="09E80196" w:rsidR="00A70CEA" w:rsidRPr="001831F9" w:rsidRDefault="00A70CEA" w:rsidP="00A70CEA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Alkalmazott technológiák és gépek, MSF021MNMF</w:t>
            </w:r>
          </w:p>
        </w:tc>
        <w:tc>
          <w:tcPr>
            <w:tcW w:w="722" w:type="dxa"/>
            <w:hideMark/>
          </w:tcPr>
          <w:p w14:paraId="2F8AF44E" w14:textId="77777777" w:rsidR="00A70CEA" w:rsidRPr="001831F9" w:rsidRDefault="00A70CEA" w:rsidP="00A70CEA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4</w:t>
            </w:r>
          </w:p>
        </w:tc>
        <w:tc>
          <w:tcPr>
            <w:tcW w:w="2110" w:type="dxa"/>
            <w:hideMark/>
          </w:tcPr>
          <w:p w14:paraId="00CB2EC7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80 óra/félév; 2 hét</w:t>
            </w:r>
          </w:p>
        </w:tc>
        <w:tc>
          <w:tcPr>
            <w:tcW w:w="2812" w:type="dxa"/>
            <w:hideMark/>
          </w:tcPr>
          <w:p w14:paraId="0DCE44FD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4. oktatási hét szerdai napja</w:t>
            </w:r>
          </w:p>
        </w:tc>
      </w:tr>
      <w:tr w:rsidR="00A70CEA" w:rsidRPr="00491A73" w14:paraId="79A33C85" w14:textId="77777777" w:rsidTr="00861CDF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B1D79A" w14:textId="7D50EBFD" w:rsidR="00A70CEA" w:rsidRPr="001831F9" w:rsidRDefault="00A70CEA" w:rsidP="00A70CEA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Anyagismeret, minőségbiztosítás, MSF022MNMF</w:t>
            </w:r>
          </w:p>
        </w:tc>
        <w:tc>
          <w:tcPr>
            <w:tcW w:w="722" w:type="dxa"/>
            <w:hideMark/>
          </w:tcPr>
          <w:p w14:paraId="50A91380" w14:textId="77777777" w:rsidR="00A70CEA" w:rsidRPr="001831F9" w:rsidRDefault="00A70CEA" w:rsidP="00A70CEA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5</w:t>
            </w:r>
          </w:p>
        </w:tc>
        <w:tc>
          <w:tcPr>
            <w:tcW w:w="2110" w:type="dxa"/>
            <w:hideMark/>
          </w:tcPr>
          <w:p w14:paraId="015DE634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80 óra/félév; 2 hét</w:t>
            </w:r>
          </w:p>
        </w:tc>
        <w:tc>
          <w:tcPr>
            <w:tcW w:w="2812" w:type="dxa"/>
            <w:hideMark/>
          </w:tcPr>
          <w:p w14:paraId="0A54FE0F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6. oktatási hét szerdai napja</w:t>
            </w:r>
          </w:p>
        </w:tc>
      </w:tr>
      <w:tr w:rsidR="00A70CEA" w:rsidRPr="00491A73" w14:paraId="039F8B3F" w14:textId="77777777" w:rsidTr="00861CDF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55B311" w14:textId="01343C38" w:rsidR="00A70CEA" w:rsidRPr="001831F9" w:rsidRDefault="00A70CEA" w:rsidP="00A70CEA">
            <w:pPr>
              <w:suppressAutoHyphens/>
              <w:spacing w:after="0"/>
              <w:jc w:val="left"/>
              <w:rPr>
                <w:rFonts w:ascii="Tw Cen MT" w:hAnsi="Tw Cen MT"/>
              </w:rPr>
            </w:pP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Gyártás, üzemeltetés, szolgáltatás, MSF023MNMF</w:t>
            </w: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 </w:t>
            </w: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 </w:t>
            </w: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 </w:t>
            </w: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 </w:t>
            </w: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 </w:t>
            </w: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 </w:t>
            </w:r>
          </w:p>
        </w:tc>
        <w:tc>
          <w:tcPr>
            <w:tcW w:w="722" w:type="dxa"/>
            <w:hideMark/>
          </w:tcPr>
          <w:p w14:paraId="20C34EE5" w14:textId="77777777" w:rsidR="00A70CEA" w:rsidRPr="001831F9" w:rsidRDefault="00A70CEA" w:rsidP="00A70CEA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14</w:t>
            </w:r>
          </w:p>
        </w:tc>
        <w:tc>
          <w:tcPr>
            <w:tcW w:w="2110" w:type="dxa"/>
            <w:hideMark/>
          </w:tcPr>
          <w:p w14:paraId="7FB6781C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280 óra/félév; 7 hét</w:t>
            </w:r>
          </w:p>
        </w:tc>
        <w:tc>
          <w:tcPr>
            <w:tcW w:w="2812" w:type="dxa"/>
            <w:hideMark/>
          </w:tcPr>
          <w:p w14:paraId="162AD0F9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13. oktatási hét szerdai napja</w:t>
            </w:r>
          </w:p>
        </w:tc>
      </w:tr>
      <w:tr w:rsidR="00A70CEA" w:rsidRPr="00491A73" w14:paraId="385E98AB" w14:textId="77777777" w:rsidTr="00861CDF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C02B36" w14:textId="235AA012" w:rsidR="00A70CEA" w:rsidRPr="001831F9" w:rsidRDefault="00A70CEA" w:rsidP="00A70CEA">
            <w:pPr>
              <w:spacing w:beforeAutospacing="1"/>
              <w:jc w:val="left"/>
              <w:rPr>
                <w:rFonts w:ascii="Tw Cen MT" w:hAnsi="Tw Cen MT"/>
              </w:rPr>
            </w:pPr>
            <w:r>
              <w:rPr>
                <w:rStyle w:val="contentpasted0"/>
                <w:rFonts w:ascii="Tw Cen MT" w:hAnsi="Tw Cen MT" w:cs="Calibri"/>
                <w:color w:val="000000"/>
                <w:bdr w:val="none" w:sz="0" w:space="0" w:color="auto" w:frame="1"/>
              </w:rPr>
              <w:t>Munkaszervezési- és pénzügyi folyamatok és menedzsment, MSF024MNMF</w:t>
            </w:r>
          </w:p>
        </w:tc>
        <w:tc>
          <w:tcPr>
            <w:tcW w:w="722" w:type="dxa"/>
            <w:hideMark/>
          </w:tcPr>
          <w:p w14:paraId="37467FC0" w14:textId="77777777" w:rsidR="00A70CEA" w:rsidRPr="001831F9" w:rsidRDefault="00A70CEA" w:rsidP="00A70CEA">
            <w:pPr>
              <w:suppressAutoHyphens/>
              <w:spacing w:after="0"/>
              <w:jc w:val="center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5</w:t>
            </w:r>
          </w:p>
        </w:tc>
        <w:tc>
          <w:tcPr>
            <w:tcW w:w="2110" w:type="dxa"/>
            <w:hideMark/>
          </w:tcPr>
          <w:p w14:paraId="269FA704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80 óra/félév; 2 hét</w:t>
            </w:r>
          </w:p>
        </w:tc>
        <w:tc>
          <w:tcPr>
            <w:tcW w:w="2812" w:type="dxa"/>
            <w:hideMark/>
          </w:tcPr>
          <w:p w14:paraId="55D71C1E" w14:textId="77777777" w:rsidR="00A70CEA" w:rsidRPr="001831F9" w:rsidRDefault="00A70CEA" w:rsidP="00A70CEA">
            <w:pPr>
              <w:suppressAutoHyphens/>
              <w:spacing w:after="0"/>
              <w:rPr>
                <w:rFonts w:ascii="Tw Cen MT" w:hAnsi="Tw Cen MT"/>
              </w:rPr>
            </w:pPr>
            <w:r w:rsidRPr="001831F9">
              <w:rPr>
                <w:rFonts w:ascii="Tw Cen MT" w:hAnsi="Tw Cen MT"/>
              </w:rPr>
              <w:t>a 15. oktatási hét szerdai napja</w:t>
            </w:r>
          </w:p>
        </w:tc>
      </w:tr>
      <w:tr w:rsidR="00B31A05" w:rsidRPr="00491A73" w14:paraId="1AA0D24F" w14:textId="77777777" w:rsidTr="00861CDF">
        <w:trPr>
          <w:trHeight w:val="328"/>
          <w:jc w:val="center"/>
        </w:trPr>
        <w:tc>
          <w:tcPr>
            <w:tcW w:w="9209" w:type="dxa"/>
            <w:gridSpan w:val="4"/>
          </w:tcPr>
          <w:p w14:paraId="3A8A6B7D" w14:textId="77777777" w:rsidR="00C944A0" w:rsidRDefault="00B31A05" w:rsidP="00B31A05">
            <w:pPr>
              <w:suppressAutoHyphens/>
              <w:spacing w:after="0"/>
              <w:jc w:val="center"/>
              <w:rPr>
                <w:rFonts w:ascii="Tw Cen MT" w:hAnsi="Tw Cen MT"/>
                <w:b/>
                <w:bCs/>
              </w:rPr>
            </w:pPr>
            <w:r w:rsidRPr="00223799">
              <w:rPr>
                <w:rFonts w:ascii="Tw Cen MT" w:hAnsi="Tw Cen MT"/>
                <w:b/>
                <w:bCs/>
              </w:rPr>
              <w:t>A</w:t>
            </w:r>
            <w:r w:rsidR="00223799" w:rsidRPr="00223799">
              <w:rPr>
                <w:rFonts w:ascii="Tw Cen MT" w:hAnsi="Tw Cen MT"/>
                <w:b/>
                <w:bCs/>
              </w:rPr>
              <w:t xml:space="preserve">z egyes beszámolókat a </w:t>
            </w:r>
            <w:r w:rsidR="001F3EF1">
              <w:rPr>
                <w:rFonts w:ascii="Tw Cen MT" w:hAnsi="Tw Cen MT"/>
                <w:b/>
                <w:bCs/>
              </w:rPr>
              <w:t>„</w:t>
            </w:r>
            <w:r w:rsidR="001F3EF1" w:rsidRPr="001F3EF1">
              <w:rPr>
                <w:rFonts w:ascii="Tw Cen MT" w:hAnsi="Tw Cen MT"/>
                <w:b/>
                <w:bCs/>
              </w:rPr>
              <w:t>MIK műszaki FOKSZ hallgatók</w:t>
            </w:r>
            <w:r w:rsidR="001F3EF1">
              <w:rPr>
                <w:rFonts w:ascii="Tw Cen MT" w:hAnsi="Tw Cen MT"/>
                <w:b/>
                <w:bCs/>
              </w:rPr>
              <w:t xml:space="preserve">” </w:t>
            </w:r>
            <w:proofErr w:type="spellStart"/>
            <w:r w:rsidR="00D96335">
              <w:rPr>
                <w:rFonts w:ascii="Tw Cen MT" w:hAnsi="Tw Cen MT"/>
                <w:b/>
                <w:bCs/>
              </w:rPr>
              <w:t>Teams</w:t>
            </w:r>
            <w:proofErr w:type="spellEnd"/>
            <w:r w:rsidR="001F3EF1">
              <w:rPr>
                <w:rFonts w:ascii="Tw Cen MT" w:hAnsi="Tw Cen MT"/>
                <w:b/>
                <w:bCs/>
              </w:rPr>
              <w:t xml:space="preserve"> csoport </w:t>
            </w:r>
          </w:p>
          <w:p w14:paraId="6332457E" w14:textId="5C0C9103" w:rsidR="00B31A05" w:rsidRPr="00223799" w:rsidRDefault="004E1723" w:rsidP="00B31A05">
            <w:pPr>
              <w:suppressAutoHyphens/>
              <w:spacing w:after="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megfelelő feladatmappáiba töltsék fel </w:t>
            </w:r>
            <w:r w:rsidR="00223799" w:rsidRPr="00223799">
              <w:rPr>
                <w:rFonts w:ascii="Tw Cen MT" w:hAnsi="Tw Cen MT"/>
                <w:b/>
                <w:bCs/>
              </w:rPr>
              <w:t>a megadott határidőig</w:t>
            </w:r>
            <w:r w:rsidR="00C944A0">
              <w:rPr>
                <w:rFonts w:ascii="Tw Cen MT" w:hAnsi="Tw Cen MT"/>
                <w:b/>
                <w:bCs/>
              </w:rPr>
              <w:t>!</w:t>
            </w:r>
            <w:r w:rsidR="00CE2C53">
              <w:rPr>
                <w:rFonts w:ascii="Tw Cen MT" w:hAnsi="Tw Cen MT"/>
                <w:b/>
                <w:bCs/>
              </w:rPr>
              <w:br/>
              <w:t>A munkanaplóik elfogadásáról a specializáció felelősükkel egyeztessenek!</w:t>
            </w:r>
          </w:p>
        </w:tc>
      </w:tr>
    </w:tbl>
    <w:p w14:paraId="2013B5EF" w14:textId="77777777" w:rsidR="00540614" w:rsidRDefault="00540614" w:rsidP="00540614">
      <w:pPr>
        <w:suppressAutoHyphens/>
        <w:spacing w:after="0"/>
        <w:ind w:left="34"/>
      </w:pPr>
    </w:p>
    <w:p w14:paraId="2F375530" w14:textId="6D345BB0" w:rsidR="00540614" w:rsidRDefault="00540614" w:rsidP="00540614">
      <w:pPr>
        <w:suppressAutoHyphens/>
        <w:spacing w:after="0"/>
        <w:ind w:left="34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A heti beosztás egyéb megállapodás hiányában a szorgalmi időszak 1. hetével kezdődik. </w:t>
      </w:r>
      <w:r w:rsidRPr="00491A73">
        <w:rPr>
          <w:rFonts w:ascii="Tw Cen MT" w:hAnsi="Tw Cen MT"/>
          <w:szCs w:val="24"/>
        </w:rPr>
        <w:t>Nem szerezhető érdemjegy, ha a hallgató a megadott határidőig nem teljesítette az előírt gyakorlati óraszámot. Az érdemjegyet a képző intézmény specializációinál megnevezett gyakorlati képzésért felelős oktatója</w:t>
      </w:r>
      <w:r w:rsidR="002948D6">
        <w:rPr>
          <w:rFonts w:ascii="Tw Cen MT" w:hAnsi="Tw Cen MT"/>
          <w:szCs w:val="24"/>
        </w:rPr>
        <w:t>, a specializációfelelős</w:t>
      </w:r>
      <w:r w:rsidRPr="00491A73">
        <w:rPr>
          <w:rFonts w:ascii="Tw Cen MT" w:hAnsi="Tw Cen MT"/>
          <w:szCs w:val="24"/>
        </w:rPr>
        <w:t xml:space="preserve"> adja, a gyakorlati helyen kijelölt mentor értékelése, részérdemjegyei alapján. A</w:t>
      </w:r>
      <w:r>
        <w:rPr>
          <w:rFonts w:ascii="Tw Cen MT" w:hAnsi="Tw Cen MT"/>
          <w:szCs w:val="24"/>
        </w:rPr>
        <w:t xml:space="preserve"> félévi </w:t>
      </w:r>
      <w:r w:rsidRPr="00491A73">
        <w:rPr>
          <w:rFonts w:ascii="Tw Cen MT" w:hAnsi="Tw Cen MT"/>
          <w:szCs w:val="24"/>
        </w:rPr>
        <w:t>érdemjegy megállapításának alapja a részérdemjegyek gyakorlati órák számával súlyozott átlaga. A gyakorlati képzésért felelős oktató</w:t>
      </w:r>
      <w:r w:rsidR="00012343">
        <w:rPr>
          <w:rFonts w:ascii="Tw Cen MT" w:hAnsi="Tw Cen MT"/>
          <w:szCs w:val="24"/>
        </w:rPr>
        <w:t>, specializációfelelős</w:t>
      </w:r>
      <w:r w:rsidRPr="00491A73">
        <w:rPr>
          <w:rFonts w:ascii="Tw Cen MT" w:hAnsi="Tw Cen MT"/>
          <w:szCs w:val="24"/>
        </w:rPr>
        <w:t xml:space="preserve"> a munkanaplók alapján a hallgatót beszámoltathatja a végzett tevékenységekről, továbbá munkamozzanatok bemutatását is kérheti.</w:t>
      </w:r>
    </w:p>
    <w:p w14:paraId="78CBD139" w14:textId="77777777" w:rsidR="00540614" w:rsidRPr="00491A73" w:rsidRDefault="00540614" w:rsidP="00540614">
      <w:pPr>
        <w:suppressAutoHyphens/>
        <w:spacing w:after="0"/>
        <w:ind w:left="34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</w:t>
      </w:r>
      <w:r w:rsidRPr="004A6CC1">
        <w:rPr>
          <w:rFonts w:ascii="Tw Cen MT" w:hAnsi="Tw Cen MT"/>
          <w:szCs w:val="24"/>
        </w:rPr>
        <w:t xml:space="preserve">mennyiben </w:t>
      </w:r>
      <w:r>
        <w:rPr>
          <w:rFonts w:ascii="Tw Cen MT" w:hAnsi="Tw Cen MT"/>
          <w:szCs w:val="24"/>
        </w:rPr>
        <w:t>a</w:t>
      </w:r>
      <w:r w:rsidRPr="004A6CC1">
        <w:rPr>
          <w:rFonts w:ascii="Tw Cen MT" w:hAnsi="Tw Cen MT"/>
          <w:szCs w:val="24"/>
        </w:rPr>
        <w:t xml:space="preserve"> hallgató igazolt munkatapasztalattal rendelkezik, a munkáltató által kiállított igazolás és munkaköri leírás alapján, az intézményi szabályzat szerint a kari Tanulmányi- és Kreditátviteli Bizottság dönt annak elfogadásáról, beszámításáról, a részbeni vagy esetleg teljes felmentésről. A záróvizsgára benyújtandó záródolgozat elkészítése alól a Bizottság nem mentesítheti a hallgatót.</w:t>
      </w:r>
    </w:p>
    <w:p w14:paraId="3E268027" w14:textId="3F40034B" w:rsidR="00540614" w:rsidRDefault="00540614" w:rsidP="00540614">
      <w:pPr>
        <w:suppressAutoHyphens/>
        <w:spacing w:before="60" w:after="0"/>
        <w:rPr>
          <w:rFonts w:ascii="Tw Cen MT" w:hAnsi="Tw Cen MT"/>
          <w:szCs w:val="24"/>
        </w:rPr>
      </w:pPr>
    </w:p>
    <w:p w14:paraId="15CB34FB" w14:textId="2FBC47C4" w:rsidR="00E076A1" w:rsidRDefault="00E076A1" w:rsidP="00540614">
      <w:pPr>
        <w:suppressAutoHyphens/>
        <w:spacing w:before="60" w:after="0"/>
        <w:rPr>
          <w:rFonts w:ascii="Tw Cen MT" w:hAnsi="Tw Cen MT"/>
          <w:szCs w:val="24"/>
        </w:rPr>
      </w:pPr>
    </w:p>
    <w:p w14:paraId="651A0816" w14:textId="32B524AF" w:rsidR="00E076A1" w:rsidRDefault="00E076A1" w:rsidP="00540614">
      <w:pPr>
        <w:suppressAutoHyphens/>
        <w:spacing w:before="60" w:after="0"/>
        <w:rPr>
          <w:rFonts w:ascii="Tw Cen MT" w:hAnsi="Tw Cen MT"/>
          <w:szCs w:val="24"/>
        </w:rPr>
      </w:pPr>
    </w:p>
    <w:p w14:paraId="6A4D2E9B" w14:textId="6DF0BD2B" w:rsidR="00E076A1" w:rsidRDefault="00E076A1" w:rsidP="00540614">
      <w:pPr>
        <w:suppressAutoHyphens/>
        <w:spacing w:before="60" w:after="0"/>
        <w:rPr>
          <w:rFonts w:ascii="Tw Cen MT" w:hAnsi="Tw Cen MT"/>
          <w:szCs w:val="24"/>
        </w:rPr>
      </w:pPr>
    </w:p>
    <w:p w14:paraId="479607DE" w14:textId="61B8A331" w:rsidR="00510EA8" w:rsidRDefault="00510EA8" w:rsidP="00540614">
      <w:pPr>
        <w:suppressAutoHyphens/>
        <w:spacing w:before="60" w:after="0"/>
        <w:rPr>
          <w:rFonts w:ascii="Tw Cen MT" w:hAnsi="Tw Cen MT"/>
          <w:szCs w:val="24"/>
        </w:rPr>
      </w:pPr>
    </w:p>
    <w:p w14:paraId="03597CF3" w14:textId="77777777" w:rsidR="00510EA8" w:rsidRDefault="00510EA8" w:rsidP="00540614">
      <w:pPr>
        <w:suppressAutoHyphens/>
        <w:spacing w:before="60" w:after="0"/>
        <w:rPr>
          <w:rFonts w:ascii="Tw Cen MT" w:hAnsi="Tw Cen MT"/>
          <w:szCs w:val="24"/>
        </w:rPr>
      </w:pPr>
    </w:p>
    <w:p w14:paraId="660F292A" w14:textId="77777777" w:rsidR="00540614" w:rsidRDefault="00540614" w:rsidP="00540614">
      <w:pPr>
        <w:pStyle w:val="Listaszerbekezds"/>
        <w:numPr>
          <w:ilvl w:val="0"/>
          <w:numId w:val="5"/>
        </w:numPr>
        <w:spacing w:after="160" w:line="259" w:lineRule="auto"/>
        <w:rPr>
          <w:rFonts w:ascii="Tw Cen MT" w:hAnsi="Tw Cen MT"/>
          <w:b/>
          <w:bCs/>
          <w:szCs w:val="24"/>
        </w:rPr>
      </w:pPr>
      <w:r>
        <w:rPr>
          <w:rFonts w:ascii="Tw Cen MT" w:hAnsi="Tw Cen MT"/>
          <w:b/>
          <w:bCs/>
          <w:szCs w:val="24"/>
        </w:rPr>
        <w:t>Záróvizsga</w:t>
      </w:r>
    </w:p>
    <w:p w14:paraId="6EAB17A8" w14:textId="77777777" w:rsidR="00540614" w:rsidRDefault="00540614" w:rsidP="00540614">
      <w:pPr>
        <w:rPr>
          <w:rFonts w:ascii="Tw Cen MT" w:hAnsi="Tw Cen MT"/>
          <w:szCs w:val="24"/>
        </w:rPr>
      </w:pPr>
      <w:r w:rsidRPr="004A6CC1">
        <w:rPr>
          <w:rFonts w:ascii="Tw Cen MT" w:hAnsi="Tw Cen MT"/>
          <w:szCs w:val="24"/>
        </w:rPr>
        <w:t>Az oklevél megszerzéséhez a hallgató</w:t>
      </w:r>
      <w:r>
        <w:rPr>
          <w:rFonts w:ascii="Tw Cen MT" w:hAnsi="Tw Cen MT"/>
          <w:szCs w:val="24"/>
        </w:rPr>
        <w:t>nak</w:t>
      </w:r>
      <w:r w:rsidRPr="004A6CC1">
        <w:rPr>
          <w:rFonts w:ascii="Tw Cen MT" w:hAnsi="Tw Cen MT"/>
          <w:szCs w:val="24"/>
        </w:rPr>
        <w:t xml:space="preserve"> záróvizsgát </w:t>
      </w:r>
      <w:r>
        <w:rPr>
          <w:rFonts w:ascii="Tw Cen MT" w:hAnsi="Tw Cen MT"/>
          <w:szCs w:val="24"/>
        </w:rPr>
        <w:t xml:space="preserve">kell tennie. </w:t>
      </w:r>
      <w:r w:rsidRPr="004A6CC1">
        <w:rPr>
          <w:rFonts w:ascii="Tw Cen MT" w:hAnsi="Tw Cen MT"/>
          <w:szCs w:val="24"/>
        </w:rPr>
        <w:t>A záróvizsgára bocsátás feltétele</w:t>
      </w:r>
      <w:r>
        <w:rPr>
          <w:rFonts w:ascii="Tw Cen MT" w:hAnsi="Tw Cen MT"/>
          <w:szCs w:val="24"/>
        </w:rPr>
        <w:t xml:space="preserve">i: </w:t>
      </w:r>
    </w:p>
    <w:p w14:paraId="34B77B59" w14:textId="77777777" w:rsidR="00540614" w:rsidRDefault="00540614" w:rsidP="00540614">
      <w:pPr>
        <w:pStyle w:val="Listaszerbekezds"/>
        <w:numPr>
          <w:ilvl w:val="0"/>
          <w:numId w:val="6"/>
        </w:numPr>
        <w:spacing w:after="160" w:line="259" w:lineRule="auto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</w:t>
      </w:r>
      <w:r w:rsidRPr="004A6CC1">
        <w:rPr>
          <w:rFonts w:ascii="Tw Cen MT" w:hAnsi="Tw Cen MT"/>
          <w:szCs w:val="24"/>
        </w:rPr>
        <w:t xml:space="preserve"> végbizonyítvány (abszolutórium) </w:t>
      </w:r>
      <w:r>
        <w:rPr>
          <w:rFonts w:ascii="Tw Cen MT" w:hAnsi="Tw Cen MT"/>
          <w:szCs w:val="24"/>
        </w:rPr>
        <w:t xml:space="preserve">megszerzése </w:t>
      </w:r>
    </w:p>
    <w:p w14:paraId="7E03CDC9" w14:textId="77777777" w:rsidR="00540614" w:rsidRPr="004A6CC1" w:rsidRDefault="00540614" w:rsidP="00540614">
      <w:pPr>
        <w:pStyle w:val="Listaszerbekezds"/>
        <w:numPr>
          <w:ilvl w:val="0"/>
          <w:numId w:val="6"/>
        </w:numPr>
        <w:spacing w:after="160" w:line="259" w:lineRule="auto"/>
        <w:rPr>
          <w:rFonts w:ascii="Tw Cen MT" w:hAnsi="Tw Cen MT"/>
          <w:szCs w:val="24"/>
        </w:rPr>
      </w:pPr>
      <w:r w:rsidRPr="004A6CC1">
        <w:rPr>
          <w:rFonts w:ascii="Tw Cen MT" w:hAnsi="Tw Cen MT"/>
          <w:szCs w:val="24"/>
        </w:rPr>
        <w:t>a záródolgozat megadott határidőre való beadása és bíráló által történő elfogadása.</w:t>
      </w:r>
    </w:p>
    <w:p w14:paraId="56BC083C" w14:textId="77777777" w:rsidR="00540614" w:rsidRDefault="00540614" w:rsidP="00540614">
      <w:pPr>
        <w:rPr>
          <w:rFonts w:ascii="Tw Cen MT" w:hAnsi="Tw Cen MT"/>
          <w:szCs w:val="24"/>
        </w:rPr>
      </w:pPr>
      <w:r w:rsidRPr="004A6CC1">
        <w:rPr>
          <w:rFonts w:ascii="Tw Cen MT" w:hAnsi="Tw Cen MT"/>
          <w:szCs w:val="24"/>
        </w:rPr>
        <w:t>A végbizonyítvány</w:t>
      </w:r>
      <w:r>
        <w:rPr>
          <w:rFonts w:ascii="Tw Cen MT" w:hAnsi="Tw Cen MT"/>
          <w:szCs w:val="24"/>
        </w:rPr>
        <w:t xml:space="preserve"> </w:t>
      </w:r>
      <w:r w:rsidRPr="004A6CC1">
        <w:rPr>
          <w:rFonts w:ascii="Tw Cen MT" w:hAnsi="Tw Cen MT"/>
          <w:szCs w:val="24"/>
        </w:rPr>
        <w:t>kiadás feltétele:</w:t>
      </w:r>
    </w:p>
    <w:p w14:paraId="0694BBAB" w14:textId="77777777" w:rsidR="00540614" w:rsidRDefault="00540614" w:rsidP="00540614">
      <w:pPr>
        <w:pStyle w:val="Listaszerbekezds"/>
        <w:numPr>
          <w:ilvl w:val="0"/>
          <w:numId w:val="7"/>
        </w:numPr>
        <w:spacing w:after="160" w:line="259" w:lineRule="auto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</w:t>
      </w:r>
      <w:r w:rsidRPr="004A6CC1">
        <w:rPr>
          <w:rFonts w:ascii="Tw Cen MT" w:hAnsi="Tw Cen MT"/>
          <w:szCs w:val="24"/>
        </w:rPr>
        <w:t xml:space="preserve"> TVSZ szerinti követelmények, a tantervben előírt tanulmányi és vizsgakövetelmények</w:t>
      </w:r>
      <w:r w:rsidRPr="001831F9">
        <w:rPr>
          <w:rFonts w:ascii="Tw Cen MT" w:hAnsi="Tw Cen MT"/>
          <w:szCs w:val="24"/>
        </w:rPr>
        <w:t xml:space="preserve"> </w:t>
      </w:r>
      <w:r w:rsidRPr="004A6CC1">
        <w:rPr>
          <w:rFonts w:ascii="Tw Cen MT" w:hAnsi="Tw Cen MT"/>
          <w:szCs w:val="24"/>
        </w:rPr>
        <w:t>teljesítése,</w:t>
      </w:r>
    </w:p>
    <w:p w14:paraId="12F048BE" w14:textId="77777777" w:rsidR="00540614" w:rsidRDefault="00540614" w:rsidP="00540614">
      <w:pPr>
        <w:pStyle w:val="Listaszerbekezds"/>
        <w:numPr>
          <w:ilvl w:val="0"/>
          <w:numId w:val="7"/>
        </w:numPr>
        <w:spacing w:after="160" w:line="259" w:lineRule="auto"/>
        <w:rPr>
          <w:rFonts w:ascii="Tw Cen MT" w:hAnsi="Tw Cen MT"/>
          <w:szCs w:val="24"/>
        </w:rPr>
      </w:pPr>
      <w:r w:rsidRPr="004A6CC1">
        <w:rPr>
          <w:rFonts w:ascii="Tw Cen MT" w:hAnsi="Tw Cen MT"/>
          <w:szCs w:val="24"/>
        </w:rPr>
        <w:t>a szakmai gyakorlat</w:t>
      </w:r>
      <w:r w:rsidRPr="001831F9">
        <w:rPr>
          <w:rFonts w:ascii="Tw Cen MT" w:hAnsi="Tw Cen MT"/>
          <w:szCs w:val="24"/>
        </w:rPr>
        <w:t xml:space="preserve"> </w:t>
      </w:r>
      <w:r w:rsidRPr="004A6CC1">
        <w:rPr>
          <w:rFonts w:ascii="Tw Cen MT" w:hAnsi="Tw Cen MT"/>
          <w:szCs w:val="24"/>
        </w:rPr>
        <w:t>teljesítése</w:t>
      </w:r>
      <w:r w:rsidRPr="001831F9">
        <w:rPr>
          <w:rFonts w:ascii="Tw Cen MT" w:hAnsi="Tw Cen MT"/>
          <w:szCs w:val="24"/>
        </w:rPr>
        <w:t xml:space="preserve"> </w:t>
      </w:r>
      <w:r w:rsidRPr="004A6CC1">
        <w:rPr>
          <w:rFonts w:ascii="Tw Cen MT" w:hAnsi="Tw Cen MT"/>
          <w:szCs w:val="24"/>
        </w:rPr>
        <w:t>a záródolgozat elkészítésének kivételével,</w:t>
      </w:r>
    </w:p>
    <w:p w14:paraId="27236EA7" w14:textId="77777777" w:rsidR="00540614" w:rsidRPr="004A6CC1" w:rsidRDefault="00540614" w:rsidP="00540614">
      <w:pPr>
        <w:pStyle w:val="Listaszerbekezds"/>
        <w:numPr>
          <w:ilvl w:val="0"/>
          <w:numId w:val="7"/>
        </w:numPr>
        <w:spacing w:after="160" w:line="259" w:lineRule="auto"/>
        <w:rPr>
          <w:rFonts w:ascii="Tw Cen MT" w:hAnsi="Tw Cen MT"/>
          <w:szCs w:val="24"/>
        </w:rPr>
      </w:pPr>
      <w:r w:rsidRPr="004A6CC1">
        <w:rPr>
          <w:rFonts w:ascii="Tw Cen MT" w:hAnsi="Tw Cen MT"/>
          <w:szCs w:val="24"/>
        </w:rPr>
        <w:t xml:space="preserve">a képzési és kimeneti követelményekben előírt kreditpontok megszerzése. </w:t>
      </w:r>
    </w:p>
    <w:p w14:paraId="1558B70A" w14:textId="005575E6" w:rsidR="00540614" w:rsidRPr="00C56A9C" w:rsidRDefault="00540614" w:rsidP="00540614">
      <w:pPr>
        <w:rPr>
          <w:rFonts w:ascii="Tw Cen MT" w:hAnsi="Tw Cen MT"/>
          <w:b/>
          <w:bCs/>
          <w:szCs w:val="24"/>
        </w:rPr>
      </w:pPr>
      <w:r>
        <w:rPr>
          <w:rFonts w:ascii="Tw Cen MT" w:hAnsi="Tw Cen MT"/>
          <w:szCs w:val="24"/>
        </w:rPr>
        <w:t>A</w:t>
      </w:r>
      <w:r w:rsidRPr="0006250C">
        <w:rPr>
          <w:rFonts w:ascii="Tw Cen MT" w:hAnsi="Tw Cen MT"/>
          <w:szCs w:val="24"/>
        </w:rPr>
        <w:t xml:space="preserve"> </w:t>
      </w:r>
      <w:r w:rsidRPr="004A6CC1">
        <w:rPr>
          <w:rFonts w:ascii="Tw Cen MT" w:hAnsi="Tw Cen MT"/>
          <w:szCs w:val="24"/>
        </w:rPr>
        <w:t>záróvizsgára elkészítendő záródolgozat formai és tartalmi előírásai</w:t>
      </w:r>
      <w:r>
        <w:rPr>
          <w:rFonts w:ascii="Tw Cen MT" w:hAnsi="Tw Cen MT"/>
          <w:szCs w:val="24"/>
        </w:rPr>
        <w:t xml:space="preserve"> a honlapon az Oktatás könyvtárban a Záróvizsga tárgynál olvashatók, a záróvizsga tárgyak tételeivel együtt. </w:t>
      </w:r>
      <w:r w:rsidR="00C56A9C" w:rsidRPr="00C56A9C">
        <w:rPr>
          <w:rFonts w:ascii="Tw Cen MT" w:hAnsi="Tw Cen MT"/>
          <w:b/>
          <w:bCs/>
          <w:szCs w:val="24"/>
        </w:rPr>
        <w:t>Záróvizsgázásra minden tavaszi félév végén van lehetőség a képzésben.</w:t>
      </w:r>
    </w:p>
    <w:p w14:paraId="0772C138" w14:textId="77777777" w:rsidR="00540614" w:rsidRPr="001831F9" w:rsidRDefault="00540614" w:rsidP="00540614">
      <w:pPr>
        <w:rPr>
          <w:rFonts w:ascii="Tw Cen MT" w:hAnsi="Tw Cen MT"/>
          <w:szCs w:val="24"/>
        </w:rPr>
      </w:pPr>
      <w:r w:rsidRPr="001831F9">
        <w:rPr>
          <w:rFonts w:ascii="Tw Cen MT" w:hAnsi="Tw Cen MT"/>
          <w:szCs w:val="24"/>
          <w:u w:val="single"/>
        </w:rPr>
        <w:t>A záróvizsga részei</w:t>
      </w:r>
    </w:p>
    <w:p w14:paraId="586B38DD" w14:textId="77777777" w:rsidR="00540614" w:rsidRDefault="00540614" w:rsidP="00540614">
      <w:pPr>
        <w:rPr>
          <w:rFonts w:ascii="Tw Cen MT" w:hAnsi="Tw Cen MT"/>
          <w:szCs w:val="24"/>
        </w:rPr>
      </w:pPr>
      <w:r w:rsidRPr="001831F9">
        <w:rPr>
          <w:rFonts w:ascii="Tw Cen MT" w:hAnsi="Tw Cen MT"/>
          <w:szCs w:val="24"/>
        </w:rPr>
        <w:t xml:space="preserve">A záróvizsga a szakmai gyakorlaton elvégzett munkáról szóló záródolgozat védéséből (D) és </w:t>
      </w:r>
      <w:r>
        <w:rPr>
          <w:rFonts w:ascii="Tw Cen MT" w:hAnsi="Tw Cen MT"/>
          <w:szCs w:val="24"/>
        </w:rPr>
        <w:t xml:space="preserve">két záróvizsga tárgyból tett </w:t>
      </w:r>
      <w:r w:rsidRPr="001831F9">
        <w:rPr>
          <w:rFonts w:ascii="Tw Cen MT" w:hAnsi="Tw Cen MT"/>
          <w:szCs w:val="24"/>
        </w:rPr>
        <w:t>szóbeli vizsgából áll</w:t>
      </w:r>
      <w:r>
        <w:rPr>
          <w:rFonts w:ascii="Tw Cen MT" w:hAnsi="Tw Cen MT"/>
          <w:szCs w:val="24"/>
        </w:rPr>
        <w:t>. A két záróvizsga tárgy:</w:t>
      </w:r>
    </w:p>
    <w:p w14:paraId="247166FB" w14:textId="77777777" w:rsidR="00540614" w:rsidRPr="001831F9" w:rsidRDefault="00540614" w:rsidP="00540614">
      <w:pPr>
        <w:pStyle w:val="Listaszerbekezds"/>
        <w:numPr>
          <w:ilvl w:val="0"/>
          <w:numId w:val="7"/>
        </w:numPr>
        <w:spacing w:after="160" w:line="259" w:lineRule="auto"/>
        <w:rPr>
          <w:rFonts w:ascii="Tw Cen MT" w:hAnsi="Tw Cen MT"/>
          <w:szCs w:val="24"/>
        </w:rPr>
      </w:pPr>
      <w:r w:rsidRPr="001831F9">
        <w:rPr>
          <w:rFonts w:ascii="Tw Cen MT" w:hAnsi="Tw Cen MT"/>
          <w:szCs w:val="24"/>
        </w:rPr>
        <w:t>Szakképzési modul komplex tárgy (A1)</w:t>
      </w:r>
    </w:p>
    <w:p w14:paraId="2D8865DB" w14:textId="77777777" w:rsidR="00540614" w:rsidRDefault="00540614" w:rsidP="00540614">
      <w:pPr>
        <w:pStyle w:val="Listaszerbekezds"/>
        <w:numPr>
          <w:ilvl w:val="0"/>
          <w:numId w:val="7"/>
        </w:numPr>
        <w:spacing w:after="160" w:line="259" w:lineRule="auto"/>
        <w:rPr>
          <w:rFonts w:ascii="Tw Cen MT" w:hAnsi="Tw Cen MT"/>
          <w:szCs w:val="24"/>
        </w:rPr>
      </w:pPr>
      <w:r w:rsidRPr="001831F9">
        <w:rPr>
          <w:rFonts w:ascii="Tw Cen MT" w:hAnsi="Tw Cen MT"/>
          <w:szCs w:val="24"/>
        </w:rPr>
        <w:t>Specializáció komplex tárgy (A2)</w:t>
      </w:r>
    </w:p>
    <w:p w14:paraId="64B83EA6" w14:textId="77777777" w:rsidR="00540614" w:rsidRPr="001831F9" w:rsidRDefault="00540614" w:rsidP="00540614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A záróvizsga tárgyakra történő felkészülést kiadott témakörök segítik. </w:t>
      </w:r>
      <w:r w:rsidRPr="001831F9">
        <w:rPr>
          <w:rFonts w:ascii="Tw Cen MT" w:hAnsi="Tw Cen MT"/>
          <w:szCs w:val="24"/>
        </w:rPr>
        <w:t>A záróvizsgán a felkészülési idő tételenként legalább 30 perc, a vizsgát a hallgatók egy napon, folyamatosan teszik le.</w:t>
      </w:r>
    </w:p>
    <w:p w14:paraId="0B485A13" w14:textId="77777777" w:rsidR="00540614" w:rsidRDefault="00540614" w:rsidP="00540614">
      <w:pPr>
        <w:rPr>
          <w:rFonts w:ascii="Tw Cen MT" w:hAnsi="Tw Cen MT"/>
          <w:szCs w:val="24"/>
        </w:rPr>
      </w:pPr>
      <w:r w:rsidRPr="001831F9">
        <w:rPr>
          <w:rFonts w:ascii="Tw Cen MT" w:hAnsi="Tw Cen MT"/>
          <w:szCs w:val="24"/>
        </w:rPr>
        <w:t>A záróvizsga eredményének (ZV) kiszámítása:</w:t>
      </w:r>
    </w:p>
    <w:p w14:paraId="71B4305D" w14:textId="037E1027" w:rsidR="00540614" w:rsidRPr="001831F9" w:rsidRDefault="00E1465C" w:rsidP="00540614">
      <w:pPr>
        <w:jc w:val="center"/>
        <w:rPr>
          <w:rFonts w:ascii="Tw Cen MT" w:hAnsi="Tw Cen MT"/>
          <w:szCs w:val="24"/>
        </w:rPr>
      </w:pPr>
      <w:r w:rsidRPr="00A61409">
        <w:rPr>
          <w:i/>
          <w:iCs/>
          <w:position w:val="-24"/>
        </w:rPr>
        <w:object w:dxaOrig="2280" w:dyaOrig="620" w14:anchorId="24FD5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26.25pt" o:ole="">
            <v:imagedata r:id="rId7" o:title=""/>
          </v:shape>
          <o:OLEObject Type="Embed" ProgID="Equation.3" ShapeID="_x0000_i1025" DrawAspect="Content" ObjectID="_1738758857" r:id="rId8"/>
        </w:object>
      </w:r>
    </w:p>
    <w:p w14:paraId="1FD6175C" w14:textId="792491AA" w:rsidR="00890406" w:rsidRPr="001831F9" w:rsidRDefault="00540614" w:rsidP="00890406">
      <w:pPr>
        <w:tabs>
          <w:tab w:val="left" w:pos="851"/>
        </w:tabs>
        <w:rPr>
          <w:rFonts w:ascii="Tw Cen MT" w:hAnsi="Tw Cen MT"/>
          <w:szCs w:val="24"/>
        </w:rPr>
      </w:pPr>
      <w:r w:rsidRPr="001831F9">
        <w:rPr>
          <w:rFonts w:ascii="Tw Cen MT" w:hAnsi="Tw Cen MT"/>
          <w:szCs w:val="24"/>
        </w:rPr>
        <w:t>ahol:</w:t>
      </w:r>
      <w:r w:rsidR="00890406" w:rsidRPr="00890406">
        <w:rPr>
          <w:rFonts w:ascii="Tw Cen MT" w:hAnsi="Tw Cen MT"/>
          <w:szCs w:val="24"/>
        </w:rPr>
        <w:t xml:space="preserve"> </w:t>
      </w:r>
      <w:r w:rsidR="00890406">
        <w:rPr>
          <w:rFonts w:ascii="Tw Cen MT" w:hAnsi="Tw Cen MT"/>
          <w:szCs w:val="24"/>
        </w:rPr>
        <w:tab/>
      </w:r>
      <w:r w:rsidR="00890406" w:rsidRPr="001831F9">
        <w:rPr>
          <w:rFonts w:ascii="Tw Cen MT" w:hAnsi="Tw Cen MT"/>
          <w:szCs w:val="24"/>
        </w:rPr>
        <w:t>TA: súlyozott tanulmányi</w:t>
      </w:r>
      <w:r w:rsidR="00890406">
        <w:rPr>
          <w:rFonts w:ascii="Tw Cen MT" w:hAnsi="Tw Cen MT"/>
          <w:szCs w:val="24"/>
        </w:rPr>
        <w:t xml:space="preserve"> </w:t>
      </w:r>
      <w:r w:rsidR="00890406" w:rsidRPr="001831F9">
        <w:rPr>
          <w:rFonts w:ascii="Tw Cen MT" w:hAnsi="Tw Cen MT"/>
          <w:szCs w:val="24"/>
        </w:rPr>
        <w:t>átlag záródolgozat nélkül</w:t>
      </w:r>
    </w:p>
    <w:p w14:paraId="734ADAE4" w14:textId="1AF6552A" w:rsidR="00890406" w:rsidRPr="001831F9" w:rsidRDefault="00890406" w:rsidP="00890406">
      <w:pPr>
        <w:tabs>
          <w:tab w:val="left" w:pos="851"/>
        </w:tabs>
        <w:ind w:left="851"/>
        <w:rPr>
          <w:rFonts w:ascii="Tw Cen MT" w:hAnsi="Tw Cen MT"/>
          <w:szCs w:val="24"/>
        </w:rPr>
      </w:pPr>
      <w:r w:rsidRPr="001831F9">
        <w:rPr>
          <w:rFonts w:ascii="Tw Cen MT" w:hAnsi="Tw Cen MT"/>
          <w:szCs w:val="24"/>
        </w:rPr>
        <w:t>D: a bíráló bizottság által, a záródolgozat védését követően megállapított jegy, figyelembe véve a bírálók javaslatát</w:t>
      </w:r>
    </w:p>
    <w:p w14:paraId="19BC5F0E" w14:textId="76AE6219" w:rsidR="00890406" w:rsidRDefault="00890406" w:rsidP="00890406">
      <w:pPr>
        <w:tabs>
          <w:tab w:val="left" w:pos="851"/>
        </w:tabs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ab/>
      </w:r>
      <w:r w:rsidRPr="001831F9">
        <w:rPr>
          <w:rFonts w:ascii="Tw Cen MT" w:hAnsi="Tw Cen MT"/>
          <w:szCs w:val="24"/>
        </w:rPr>
        <w:t xml:space="preserve">A1, A2: a tételes vizsgákra kapott </w:t>
      </w:r>
      <w:r>
        <w:rPr>
          <w:rFonts w:ascii="Tw Cen MT" w:hAnsi="Tw Cen MT"/>
          <w:szCs w:val="24"/>
        </w:rPr>
        <w:t>érdem</w:t>
      </w:r>
      <w:r w:rsidRPr="001831F9">
        <w:rPr>
          <w:rFonts w:ascii="Tw Cen MT" w:hAnsi="Tw Cen MT"/>
          <w:szCs w:val="24"/>
        </w:rPr>
        <w:t>jegy</w:t>
      </w:r>
    </w:p>
    <w:p w14:paraId="35A0182E" w14:textId="77777777" w:rsidR="00540614" w:rsidRPr="001831F9" w:rsidRDefault="00540614" w:rsidP="00540614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Az oklevél minősítése:</w:t>
      </w:r>
    </w:p>
    <w:tbl>
      <w:tblPr>
        <w:tblW w:w="5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694"/>
      </w:tblGrid>
      <w:tr w:rsidR="00540614" w:rsidRPr="00341E95" w14:paraId="36C5F282" w14:textId="77777777" w:rsidTr="00510EA8">
        <w:trPr>
          <w:trHeight w:val="249"/>
          <w:jc w:val="center"/>
        </w:trPr>
        <w:tc>
          <w:tcPr>
            <w:tcW w:w="281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60AB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b/>
                <w:bCs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b/>
                <w:bCs/>
                <w:color w:val="000000"/>
                <w:szCs w:val="24"/>
              </w:rPr>
              <w:t xml:space="preserve">Átlag </w:t>
            </w: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A576A9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b/>
                <w:bCs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b/>
                <w:bCs/>
                <w:color w:val="000000"/>
                <w:szCs w:val="24"/>
              </w:rPr>
              <w:t>Minősítés</w:t>
            </w:r>
          </w:p>
        </w:tc>
      </w:tr>
      <w:tr w:rsidR="00540614" w:rsidRPr="00341E95" w14:paraId="72E6F0DB" w14:textId="77777777" w:rsidTr="0038520B">
        <w:trPr>
          <w:trHeight w:val="284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3925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9E2B10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kitűnő</w:t>
            </w:r>
          </w:p>
        </w:tc>
      </w:tr>
      <w:tr w:rsidR="00540614" w:rsidRPr="00341E95" w14:paraId="4846E1C9" w14:textId="77777777" w:rsidTr="0038520B">
        <w:trPr>
          <w:trHeight w:val="284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FF11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4,51 - 4,99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EFEC3F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jeles</w:t>
            </w:r>
          </w:p>
        </w:tc>
      </w:tr>
      <w:tr w:rsidR="00540614" w:rsidRPr="00341E95" w14:paraId="26293945" w14:textId="77777777" w:rsidTr="0038520B">
        <w:trPr>
          <w:trHeight w:val="284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BEFF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3,51 - 4,5</w:t>
            </w:r>
            <w:r>
              <w:rPr>
                <w:rFonts w:ascii="Tw Cen MT" w:hAnsi="Tw Cen MT" w:cs="Calibri"/>
                <w:color w:val="000000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C3AD1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jó</w:t>
            </w:r>
          </w:p>
        </w:tc>
      </w:tr>
      <w:tr w:rsidR="00540614" w:rsidRPr="00341E95" w14:paraId="1FE5C444" w14:textId="77777777" w:rsidTr="0038520B">
        <w:trPr>
          <w:trHeight w:val="284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1A3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2,51 - 3,5</w:t>
            </w:r>
            <w:r>
              <w:rPr>
                <w:rFonts w:ascii="Tw Cen MT" w:hAnsi="Tw Cen MT" w:cs="Calibri"/>
                <w:color w:val="000000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AEE53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közepes</w:t>
            </w:r>
          </w:p>
        </w:tc>
      </w:tr>
      <w:tr w:rsidR="00540614" w:rsidRPr="00341E95" w14:paraId="5600471E" w14:textId="77777777" w:rsidTr="0038520B">
        <w:trPr>
          <w:trHeight w:val="284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1D93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2,5</w:t>
            </w:r>
            <w:r>
              <w:rPr>
                <w:rFonts w:ascii="Tw Cen MT" w:hAnsi="Tw Cen MT" w:cs="Calibri"/>
                <w:color w:val="000000"/>
                <w:szCs w:val="24"/>
              </w:rPr>
              <w:t>0</w:t>
            </w:r>
            <w:r w:rsidRPr="00341E95">
              <w:rPr>
                <w:rFonts w:ascii="Tw Cen MT" w:hAnsi="Tw Cen MT" w:cs="Calibri"/>
                <w:color w:val="000000"/>
                <w:szCs w:val="24"/>
              </w:rPr>
              <w:t xml:space="preserve"> - 2,</w:t>
            </w:r>
            <w:r>
              <w:rPr>
                <w:rFonts w:ascii="Tw Cen MT" w:hAnsi="Tw Cen MT" w:cs="Calibri"/>
                <w:color w:val="000000"/>
                <w:szCs w:val="24"/>
              </w:rPr>
              <w:t>0</w:t>
            </w:r>
            <w:r w:rsidRPr="00341E95">
              <w:rPr>
                <w:rFonts w:ascii="Tw Cen MT" w:hAnsi="Tw Cen MT" w:cs="Calibri"/>
                <w:color w:val="000000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266512" w14:textId="77777777" w:rsidR="00540614" w:rsidRPr="00341E95" w:rsidRDefault="00540614" w:rsidP="0038520B">
            <w:pPr>
              <w:spacing w:after="0"/>
              <w:jc w:val="center"/>
              <w:rPr>
                <w:rFonts w:ascii="Tw Cen MT" w:hAnsi="Tw Cen MT" w:cs="Calibri"/>
                <w:color w:val="000000"/>
                <w:szCs w:val="24"/>
              </w:rPr>
            </w:pPr>
            <w:r w:rsidRPr="00341E95">
              <w:rPr>
                <w:rFonts w:ascii="Tw Cen MT" w:hAnsi="Tw Cen MT" w:cs="Calibri"/>
                <w:color w:val="000000"/>
                <w:szCs w:val="24"/>
              </w:rPr>
              <w:t>elégséges</w:t>
            </w:r>
          </w:p>
        </w:tc>
      </w:tr>
    </w:tbl>
    <w:p w14:paraId="63B53319" w14:textId="77777777" w:rsidR="00540614" w:rsidRDefault="00540614" w:rsidP="00540614">
      <w:pPr>
        <w:rPr>
          <w:rFonts w:ascii="Tw Cen MT" w:hAnsi="Tw Cen MT"/>
          <w:szCs w:val="24"/>
        </w:rPr>
      </w:pPr>
    </w:p>
    <w:p w14:paraId="397620D2" w14:textId="7F96D409" w:rsidR="00540614" w:rsidRDefault="00540614" w:rsidP="00540614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Sok sikert kívánok a tanulmányaik befejezéséhez!</w:t>
      </w:r>
    </w:p>
    <w:p w14:paraId="58516197" w14:textId="77777777" w:rsidR="008D4EF6" w:rsidRDefault="008D4EF6" w:rsidP="00540614">
      <w:pPr>
        <w:rPr>
          <w:rFonts w:ascii="Tw Cen MT" w:hAnsi="Tw Cen MT"/>
          <w:szCs w:val="24"/>
        </w:rPr>
      </w:pPr>
    </w:p>
    <w:p w14:paraId="4583FDA5" w14:textId="77777777" w:rsidR="00540614" w:rsidRDefault="00540614" w:rsidP="00BC73B5">
      <w:pPr>
        <w:tabs>
          <w:tab w:val="center" w:pos="5670"/>
        </w:tabs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ab/>
        <w:t>oktatóik, ügyintézőik nevében is</w:t>
      </w:r>
    </w:p>
    <w:p w14:paraId="525BF55E" w14:textId="4BBBD2E7" w:rsidR="009039A1" w:rsidRDefault="008D4EF6" w:rsidP="008D4EF6">
      <w:pPr>
        <w:tabs>
          <w:tab w:val="center" w:pos="5670"/>
        </w:tabs>
        <w:jc w:val="left"/>
      </w:pPr>
      <w:r>
        <w:rPr>
          <w:rFonts w:ascii="Tw Cen MT" w:hAnsi="Tw Cen MT"/>
          <w:szCs w:val="24"/>
        </w:rPr>
        <w:tab/>
      </w:r>
      <w:r w:rsidR="00540614">
        <w:rPr>
          <w:rFonts w:ascii="Tw Cen MT" w:hAnsi="Tw Cen MT"/>
          <w:szCs w:val="24"/>
        </w:rPr>
        <w:t>Eördöghné Dr. Miklós Mária Ph</w:t>
      </w:r>
      <w:r w:rsidR="00C56A9C">
        <w:rPr>
          <w:rFonts w:ascii="Tw Cen MT" w:hAnsi="Tw Cen MT"/>
          <w:szCs w:val="24"/>
        </w:rPr>
        <w:t>D</w:t>
      </w:r>
      <w:r w:rsidR="00540614">
        <w:rPr>
          <w:rFonts w:ascii="Tw Cen MT" w:hAnsi="Tw Cen MT"/>
          <w:szCs w:val="24"/>
        </w:rPr>
        <w:t xml:space="preserve"> </w:t>
      </w:r>
      <w:proofErr w:type="spellStart"/>
      <w:r w:rsidR="00510EA8">
        <w:rPr>
          <w:rFonts w:ascii="Tw Cen MT" w:hAnsi="Tw Cen MT"/>
          <w:szCs w:val="24"/>
        </w:rPr>
        <w:t>habiltált</w:t>
      </w:r>
      <w:proofErr w:type="spellEnd"/>
      <w:r w:rsidR="00510EA8">
        <w:rPr>
          <w:rFonts w:ascii="Tw Cen MT" w:hAnsi="Tw Cen MT"/>
          <w:szCs w:val="24"/>
        </w:rPr>
        <w:t xml:space="preserve"> </w:t>
      </w:r>
      <w:r w:rsidR="00540614">
        <w:rPr>
          <w:rFonts w:ascii="Tw Cen MT" w:hAnsi="Tw Cen MT"/>
          <w:szCs w:val="24"/>
        </w:rPr>
        <w:t>egyetemi docens</w:t>
      </w:r>
      <w:r w:rsidR="00510EA8">
        <w:rPr>
          <w:rFonts w:ascii="Tw Cen MT" w:hAnsi="Tw Cen MT"/>
          <w:szCs w:val="24"/>
        </w:rPr>
        <w:t xml:space="preserve">, </w:t>
      </w:r>
      <w:r w:rsidR="00540614">
        <w:rPr>
          <w:rFonts w:ascii="Tw Cen MT" w:hAnsi="Tw Cen MT"/>
          <w:szCs w:val="24"/>
        </w:rPr>
        <w:t>szakfelelős</w:t>
      </w:r>
    </w:p>
    <w:sectPr w:rsidR="009039A1" w:rsidSect="00510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4984" w14:textId="77777777" w:rsidR="005A08E8" w:rsidRDefault="005A08E8" w:rsidP="00061297">
      <w:pPr>
        <w:spacing w:after="0"/>
      </w:pPr>
      <w:r>
        <w:separator/>
      </w:r>
    </w:p>
  </w:endnote>
  <w:endnote w:type="continuationSeparator" w:id="0">
    <w:p w14:paraId="48AF808E" w14:textId="77777777" w:rsidR="005A08E8" w:rsidRDefault="005A08E8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8A27" w14:textId="77777777" w:rsidR="00E61DB5" w:rsidRDefault="00E61D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3F8" w14:textId="77777777" w:rsidR="00E61DB5" w:rsidRDefault="00E61D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8644" w14:textId="77777777"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5DD7" w14:textId="77777777" w:rsidR="005A08E8" w:rsidRDefault="005A08E8" w:rsidP="00061297">
      <w:pPr>
        <w:spacing w:after="0"/>
      </w:pPr>
      <w:r>
        <w:separator/>
      </w:r>
    </w:p>
  </w:footnote>
  <w:footnote w:type="continuationSeparator" w:id="0">
    <w:p w14:paraId="1BD94FFA" w14:textId="77777777" w:rsidR="005A08E8" w:rsidRDefault="005A08E8" w:rsidP="00061297">
      <w:pPr>
        <w:spacing w:after="0"/>
      </w:pPr>
      <w:r>
        <w:continuationSeparator/>
      </w:r>
    </w:p>
  </w:footnote>
  <w:footnote w:id="1">
    <w:p w14:paraId="408E0B1A" w14:textId="77777777" w:rsidR="00540614" w:rsidRDefault="00540614" w:rsidP="00540614">
      <w:pPr>
        <w:pStyle w:val="Lbjegyzetszveg"/>
      </w:pPr>
      <w:r>
        <w:rPr>
          <w:rStyle w:val="Lbjegyzet-hivatkozs"/>
        </w:rPr>
        <w:footnoteRef/>
      </w:r>
      <w:r>
        <w:t xml:space="preserve"> Specializáció felelősök:</w:t>
      </w:r>
    </w:p>
    <w:p w14:paraId="244CC854" w14:textId="77777777" w:rsidR="00540614" w:rsidRDefault="00540614" w:rsidP="00540614">
      <w:pPr>
        <w:pStyle w:val="Lbjegyzetszveg"/>
      </w:pPr>
    </w:p>
    <w:p w14:paraId="30ADF6DD" w14:textId="77777777" w:rsidR="00540614" w:rsidRDefault="00540614" w:rsidP="00540614">
      <w:pPr>
        <w:pStyle w:val="Lbjegyzetszveg"/>
        <w:tabs>
          <w:tab w:val="left" w:pos="5387"/>
        </w:tabs>
      </w:pPr>
      <w:r w:rsidRPr="00C47A9A">
        <w:t>Gépészet specializáció 1</w:t>
      </w:r>
      <w:r>
        <w:t>.</w:t>
      </w:r>
      <w:r w:rsidRPr="00C47A9A">
        <w:t xml:space="preserve"> - általános gépészet</w:t>
      </w:r>
      <w:r>
        <w:t xml:space="preserve"> </w:t>
      </w:r>
      <w:r>
        <w:tab/>
      </w:r>
      <w:proofErr w:type="gramStart"/>
      <w:r>
        <w:t>–</w:t>
      </w:r>
      <w:r w:rsidRPr="00C47A9A">
        <w:t xml:space="preserve"> </w:t>
      </w:r>
      <w:r>
        <w:t xml:space="preserve"> D</w:t>
      </w:r>
      <w:r w:rsidRPr="00C47A9A">
        <w:t>r.</w:t>
      </w:r>
      <w:proofErr w:type="gramEnd"/>
      <w:r w:rsidRPr="00C47A9A">
        <w:t xml:space="preserve"> Cs. Nagy Géza</w:t>
      </w:r>
    </w:p>
    <w:p w14:paraId="1CE4468B" w14:textId="77777777" w:rsidR="00540614" w:rsidRPr="00C47A9A" w:rsidRDefault="00540614" w:rsidP="00540614">
      <w:pPr>
        <w:pStyle w:val="Lbjegyzetszveg"/>
        <w:tabs>
          <w:tab w:val="left" w:pos="5387"/>
        </w:tabs>
      </w:pPr>
      <w:r w:rsidRPr="00C47A9A">
        <w:t>Gépészet specializáció 2</w:t>
      </w:r>
      <w:r>
        <w:t>.</w:t>
      </w:r>
      <w:r w:rsidRPr="00C47A9A">
        <w:t xml:space="preserve"> </w:t>
      </w:r>
      <w:r>
        <w:t xml:space="preserve">- </w:t>
      </w:r>
      <w:r w:rsidRPr="00C47A9A">
        <w:t>komfortgépészet</w:t>
      </w:r>
      <w:r>
        <w:t xml:space="preserve"> </w:t>
      </w:r>
      <w:r>
        <w:tab/>
      </w:r>
      <w:proofErr w:type="gramStart"/>
      <w:r>
        <w:t>–</w:t>
      </w:r>
      <w:r w:rsidRPr="00C47A9A">
        <w:t xml:space="preserve"> </w:t>
      </w:r>
      <w:r>
        <w:t xml:space="preserve"> Eördöghné</w:t>
      </w:r>
      <w:proofErr w:type="gramEnd"/>
      <w:r>
        <w:t xml:space="preserve"> D</w:t>
      </w:r>
      <w:r w:rsidRPr="00C47A9A">
        <w:t>r. Miklós Mária</w:t>
      </w:r>
    </w:p>
    <w:p w14:paraId="7C72F631" w14:textId="77777777" w:rsidR="00540614" w:rsidRDefault="00540614" w:rsidP="00540614">
      <w:pPr>
        <w:pStyle w:val="Lbjegyzetszveg"/>
        <w:tabs>
          <w:tab w:val="left" w:pos="5387"/>
        </w:tabs>
      </w:pPr>
      <w:r w:rsidRPr="00C47A9A">
        <w:t>Elektrotechnika-elektronika specializáció</w:t>
      </w:r>
      <w:r>
        <w:t xml:space="preserve"> </w:t>
      </w:r>
      <w:r>
        <w:tab/>
        <w:t>– D</w:t>
      </w:r>
      <w:r w:rsidRPr="00C47A9A">
        <w:t xml:space="preserve">r. </w:t>
      </w:r>
      <w:proofErr w:type="spellStart"/>
      <w:r w:rsidRPr="00C47A9A">
        <w:t>Kvasznicza</w:t>
      </w:r>
      <w:proofErr w:type="spellEnd"/>
      <w:r w:rsidRPr="00C47A9A">
        <w:t xml:space="preserve"> Zoltán</w:t>
      </w:r>
    </w:p>
    <w:p w14:paraId="615BC2BD" w14:textId="77777777" w:rsidR="00540614" w:rsidRDefault="00540614" w:rsidP="00540614">
      <w:pPr>
        <w:pStyle w:val="Lbjegyzetszveg"/>
        <w:tabs>
          <w:tab w:val="left" w:pos="5387"/>
        </w:tabs>
      </w:pPr>
      <w:r w:rsidRPr="00A44961">
        <w:t>Környezetvédelem-vízgazdálkodás specializáció</w:t>
      </w:r>
      <w:r>
        <w:t xml:space="preserve"> </w:t>
      </w:r>
      <w:r>
        <w:tab/>
        <w:t xml:space="preserve">– </w:t>
      </w:r>
      <w:proofErr w:type="spellStart"/>
      <w:r>
        <w:t>Dolgosné</w:t>
      </w:r>
      <w:proofErr w:type="spellEnd"/>
      <w:r>
        <w:t xml:space="preserve"> D</w:t>
      </w:r>
      <w:r w:rsidRPr="000657D5">
        <w:t>r. Kovács Anita</w:t>
      </w:r>
    </w:p>
    <w:p w14:paraId="184AC021" w14:textId="77777777" w:rsidR="00540614" w:rsidRDefault="00540614" w:rsidP="00540614">
      <w:pPr>
        <w:pStyle w:val="Lbjegyzetszveg"/>
        <w:tabs>
          <w:tab w:val="left" w:pos="5387"/>
        </w:tabs>
      </w:pPr>
      <w:r w:rsidRPr="00242627">
        <w:t>Építő specializáció</w:t>
      </w:r>
      <w:r>
        <w:t xml:space="preserve"> </w:t>
      </w:r>
      <w:r>
        <w:tab/>
        <w:t>– D</w:t>
      </w:r>
      <w:r w:rsidRPr="00242627">
        <w:t>r. Pál-Schreiner Judit</w:t>
      </w:r>
    </w:p>
    <w:p w14:paraId="06B961F2" w14:textId="77777777" w:rsidR="00540614" w:rsidRDefault="00540614" w:rsidP="00540614">
      <w:pPr>
        <w:pStyle w:val="Lbjegyzetszveg"/>
        <w:tabs>
          <w:tab w:val="left" w:pos="5387"/>
        </w:tabs>
      </w:pPr>
      <w:r w:rsidRPr="000657D5">
        <w:t>Könnyűipar specializáció - ortopédiai műszerész</w:t>
      </w:r>
      <w:r>
        <w:t xml:space="preserve"> </w:t>
      </w:r>
      <w:r w:rsidRPr="00A44961">
        <w:t>specializáció</w:t>
      </w:r>
      <w:r>
        <w:t xml:space="preserve"> </w:t>
      </w:r>
      <w:r>
        <w:tab/>
        <w:t>– D</w:t>
      </w:r>
      <w:r w:rsidRPr="000657D5">
        <w:t>r. Varjú Cecília</w:t>
      </w:r>
    </w:p>
    <w:p w14:paraId="10EF3DFC" w14:textId="77777777" w:rsidR="00540614" w:rsidRDefault="00540614" w:rsidP="00540614">
      <w:pPr>
        <w:pStyle w:val="Lbjegyzetszveg"/>
        <w:tabs>
          <w:tab w:val="left" w:pos="4536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7A95" w14:textId="77777777" w:rsidR="00E61DB5" w:rsidRDefault="00E61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4105" w14:textId="77777777" w:rsidR="00061297" w:rsidRDefault="003F59E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BDBDEE1" wp14:editId="3D025519">
          <wp:simplePos x="0" y="0"/>
          <wp:positionH relativeFrom="column">
            <wp:posOffset>-893997</wp:posOffset>
          </wp:positionH>
          <wp:positionV relativeFrom="page">
            <wp:posOffset>0</wp:posOffset>
          </wp:positionV>
          <wp:extent cx="7560944" cy="10686461"/>
          <wp:effectExtent l="1905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4" cy="10686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686E" w14:textId="77777777" w:rsidR="00E61DB5" w:rsidRDefault="00E61D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FC2"/>
    <w:multiLevelType w:val="hybridMultilevel"/>
    <w:tmpl w:val="8A6A8050"/>
    <w:lvl w:ilvl="0" w:tplc="D6F03B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19EE"/>
    <w:multiLevelType w:val="hybridMultilevel"/>
    <w:tmpl w:val="E24E9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917"/>
    <w:multiLevelType w:val="hybridMultilevel"/>
    <w:tmpl w:val="104A34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976C7"/>
    <w:multiLevelType w:val="hybridMultilevel"/>
    <w:tmpl w:val="1B7CDE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6EDD"/>
    <w:multiLevelType w:val="hybridMultilevel"/>
    <w:tmpl w:val="DB8285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254AC"/>
    <w:multiLevelType w:val="hybridMultilevel"/>
    <w:tmpl w:val="035C3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26674">
    <w:abstractNumId w:val="5"/>
  </w:num>
  <w:num w:numId="2" w16cid:durableId="1164082841">
    <w:abstractNumId w:val="1"/>
  </w:num>
  <w:num w:numId="3" w16cid:durableId="1748842518">
    <w:abstractNumId w:val="6"/>
  </w:num>
  <w:num w:numId="4" w16cid:durableId="528301746">
    <w:abstractNumId w:val="4"/>
  </w:num>
  <w:num w:numId="5" w16cid:durableId="1044914210">
    <w:abstractNumId w:val="3"/>
  </w:num>
  <w:num w:numId="6" w16cid:durableId="70858492">
    <w:abstractNumId w:val="2"/>
  </w:num>
  <w:num w:numId="7" w16cid:durableId="89844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97"/>
    <w:rsid w:val="0000011A"/>
    <w:rsid w:val="00012343"/>
    <w:rsid w:val="00037CE2"/>
    <w:rsid w:val="00061297"/>
    <w:rsid w:val="00066D0E"/>
    <w:rsid w:val="00105F93"/>
    <w:rsid w:val="00187DCB"/>
    <w:rsid w:val="001A4486"/>
    <w:rsid w:val="001C31FE"/>
    <w:rsid w:val="001F3EF1"/>
    <w:rsid w:val="00215460"/>
    <w:rsid w:val="0022031E"/>
    <w:rsid w:val="00223799"/>
    <w:rsid w:val="0028409F"/>
    <w:rsid w:val="002948D6"/>
    <w:rsid w:val="002B275A"/>
    <w:rsid w:val="002C0CF5"/>
    <w:rsid w:val="002D65C7"/>
    <w:rsid w:val="00302602"/>
    <w:rsid w:val="00361D72"/>
    <w:rsid w:val="00397B16"/>
    <w:rsid w:val="003A776A"/>
    <w:rsid w:val="003F59E5"/>
    <w:rsid w:val="0040681C"/>
    <w:rsid w:val="00455A7D"/>
    <w:rsid w:val="00481E08"/>
    <w:rsid w:val="004861F6"/>
    <w:rsid w:val="0049207F"/>
    <w:rsid w:val="004E1723"/>
    <w:rsid w:val="00510EA8"/>
    <w:rsid w:val="00513C3E"/>
    <w:rsid w:val="00540614"/>
    <w:rsid w:val="00553F92"/>
    <w:rsid w:val="005A08E8"/>
    <w:rsid w:val="00606D99"/>
    <w:rsid w:val="00622D24"/>
    <w:rsid w:val="006B44A2"/>
    <w:rsid w:val="006D2E6C"/>
    <w:rsid w:val="0076493A"/>
    <w:rsid w:val="007B2CB7"/>
    <w:rsid w:val="007C4E34"/>
    <w:rsid w:val="007E1DD0"/>
    <w:rsid w:val="0085568B"/>
    <w:rsid w:val="00861CDF"/>
    <w:rsid w:val="00890406"/>
    <w:rsid w:val="008D4EF6"/>
    <w:rsid w:val="008F5344"/>
    <w:rsid w:val="009039A1"/>
    <w:rsid w:val="00950412"/>
    <w:rsid w:val="009A2F26"/>
    <w:rsid w:val="009C0661"/>
    <w:rsid w:val="00A64735"/>
    <w:rsid w:val="00A70CEA"/>
    <w:rsid w:val="00AB00E0"/>
    <w:rsid w:val="00AC1331"/>
    <w:rsid w:val="00AE365A"/>
    <w:rsid w:val="00B057C3"/>
    <w:rsid w:val="00B31A05"/>
    <w:rsid w:val="00B824FA"/>
    <w:rsid w:val="00B907F5"/>
    <w:rsid w:val="00BB22C4"/>
    <w:rsid w:val="00BC73B5"/>
    <w:rsid w:val="00C318A3"/>
    <w:rsid w:val="00C47829"/>
    <w:rsid w:val="00C47FD9"/>
    <w:rsid w:val="00C545F5"/>
    <w:rsid w:val="00C56A9C"/>
    <w:rsid w:val="00C944A0"/>
    <w:rsid w:val="00C9727C"/>
    <w:rsid w:val="00CE2C53"/>
    <w:rsid w:val="00D137AE"/>
    <w:rsid w:val="00D96335"/>
    <w:rsid w:val="00DE5343"/>
    <w:rsid w:val="00E05BB1"/>
    <w:rsid w:val="00E076A1"/>
    <w:rsid w:val="00E1465C"/>
    <w:rsid w:val="00E242AC"/>
    <w:rsid w:val="00E61DB5"/>
    <w:rsid w:val="00F00B20"/>
    <w:rsid w:val="00F54E93"/>
    <w:rsid w:val="00F73CFD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5477D6"/>
  <w15:docId w15:val="{FFE13B88-2DAC-442F-8CDC-B754CDC7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paragraph" w:styleId="Listaszerbekezds">
    <w:name w:val="List Paragraph"/>
    <w:basedOn w:val="Norml"/>
    <w:uiPriority w:val="34"/>
    <w:qFormat/>
    <w:rsid w:val="00553F92"/>
    <w:pPr>
      <w:ind w:left="720"/>
      <w:contextualSpacing/>
    </w:pPr>
  </w:style>
  <w:style w:type="table" w:styleId="Rcsostblzat">
    <w:name w:val="Table Grid"/>
    <w:basedOn w:val="Normltblzat"/>
    <w:uiPriority w:val="39"/>
    <w:rsid w:val="0054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0614"/>
    <w:pPr>
      <w:spacing w:after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06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0614"/>
    <w:rPr>
      <w:vertAlign w:val="superscript"/>
    </w:rPr>
  </w:style>
  <w:style w:type="character" w:customStyle="1" w:styleId="contentpasted0">
    <w:name w:val="contentpasted0"/>
    <w:basedOn w:val="Bekezdsalapbettpusa"/>
    <w:rsid w:val="00A7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3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8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Eördöghné Dr. Miklós Mária</cp:lastModifiedBy>
  <cp:revision>2</cp:revision>
  <cp:lastPrinted>2022-01-04T15:35:00Z</cp:lastPrinted>
  <dcterms:created xsi:type="dcterms:W3CDTF">2023-02-24T14:47:00Z</dcterms:created>
  <dcterms:modified xsi:type="dcterms:W3CDTF">2023-02-24T14:47:00Z</dcterms:modified>
</cp:coreProperties>
</file>