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B3" w:rsidRPr="007556F8" w:rsidRDefault="007348B3" w:rsidP="007556F8">
      <w:pPr>
        <w:jc w:val="center"/>
        <w:rPr>
          <w:b/>
        </w:rPr>
      </w:pPr>
      <w:r w:rsidRPr="007556F8">
        <w:rPr>
          <w:b/>
        </w:rPr>
        <w:t>11. előadás: A fókuszcsoport. A terepmunka (megfigyelés)</w:t>
      </w:r>
    </w:p>
    <w:p w:rsidR="007348B3" w:rsidRPr="007556F8" w:rsidRDefault="007348B3" w:rsidP="007556F8">
      <w:pPr>
        <w:jc w:val="center"/>
        <w:rPr>
          <w:b/>
        </w:rPr>
      </w:pPr>
      <w:r w:rsidRPr="007556F8">
        <w:rPr>
          <w:b/>
        </w:rPr>
        <w:t>2014. november 11.</w:t>
      </w:r>
    </w:p>
    <w:p w:rsidR="007348B3" w:rsidRDefault="007348B3"/>
    <w:p w:rsidR="007348B3" w:rsidRPr="007556F8" w:rsidRDefault="007348B3" w:rsidP="007556F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7556F8">
        <w:rPr>
          <w:rFonts w:ascii="Times New Roman" w:hAnsi="Times New Roman"/>
          <w:b/>
          <w:bCs/>
          <w:sz w:val="24"/>
          <w:szCs w:val="24"/>
          <w:lang w:eastAsia="hu-HU"/>
        </w:rPr>
        <w:t>A fókuszcsoport</w:t>
      </w:r>
    </w:p>
    <w:p w:rsidR="007348B3" w:rsidRPr="007556F8" w:rsidRDefault="007348B3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6F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7556F8">
        <w:rPr>
          <w:rFonts w:ascii="Times New Roman" w:hAnsi="Times New Roman"/>
          <w:i/>
          <w:iCs/>
          <w:sz w:val="24"/>
          <w:szCs w:val="24"/>
          <w:lang w:eastAsia="hu-HU"/>
        </w:rPr>
        <w:t xml:space="preserve">fókuszcsoport </w:t>
      </w:r>
      <w:r w:rsidRPr="007556F8">
        <w:rPr>
          <w:rFonts w:ascii="Times New Roman" w:hAnsi="Times New Roman"/>
          <w:sz w:val="24"/>
          <w:szCs w:val="24"/>
          <w:lang w:eastAsia="hu-HU"/>
        </w:rPr>
        <w:t>a piackutatás kvalitatív módszereként a motivációkutatás elméletéből, a tréningcsoport, illetve a pszichológiai terápia és tanácsadás gyakorlatából nőtte ki magát. Néhány évvel ezelőtt a fókuszcsoport még szinte ismeretlen volt a társadalomtudósok körében, pedig nem új keletű dologról van szó: az első csoportos interjúkról szóló munka már az 1920-as években megjelent. A csoportos interjú már a II. világháború idején fontos szerepet játszott a társadalomkutatásban, mivel így vizsgálták egy-egy propaganda meggyőzőerejét, a csapatok kiképzésének hatékonyságát, illetve munkacsoportok teljesítményét meghatározó tényezőket.</w:t>
      </w:r>
    </w:p>
    <w:p w:rsidR="007348B3" w:rsidRPr="007556F8" w:rsidRDefault="007348B3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6F8">
        <w:rPr>
          <w:rFonts w:ascii="Times New Roman" w:hAnsi="Times New Roman"/>
          <w:sz w:val="24"/>
          <w:szCs w:val="24"/>
          <w:lang w:eastAsia="hu-HU"/>
        </w:rPr>
        <w:t>A fókuszcsoportos interjút a marketing területén először 1940 körül alkalmazták. Paul Lazarsfeld és munkatársai 1941-ben a rádióműsorok által kiváltott hallgatói reakciókat értékelték. Megkérték a hallgatókat, hogy miközben a műsort hallgatják, nyomják meg a piros gombot, ha olyat hallanak, ami negatív érzéseket vált ki belőlük (harag, unalom stb.), és a zöld gombot, ha pozitív érzéseik vannak. A hallgatók reakcióit és azok időzítését rögzítették. A program végén megkérték őket, hogy koncentráljanak a rögzített pozitív és negatív élményekre, és közösen beszéljék meg, hogy milyen okok váltották ki azokat. Ezzel kezdődött a fókuszcsoportos interjú.</w:t>
      </w:r>
    </w:p>
    <w:p w:rsidR="007348B3" w:rsidRPr="007556F8" w:rsidRDefault="007348B3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6F8">
        <w:rPr>
          <w:rFonts w:ascii="Times New Roman" w:hAnsi="Times New Roman"/>
          <w:sz w:val="24"/>
          <w:szCs w:val="24"/>
          <w:lang w:eastAsia="hu-HU"/>
        </w:rPr>
        <w:t>Érdekes módon a fókuszcsoport módszerét – amely a kvalitatív adatnyerés meghatározó lehetőségeként a piackutatásban született meg – az utóbbi tíz évben az antropológiában, a kommunikációkutatásban, a pedagógiában, a politikatudományban, a szociológiai kutatásokban és a pszichológiában mind nagyobb mértékben kezdték használni. Így, a marketing elmélete és gyakorlata által gazdagodva és csiszolva tért vissza a kiinduló tudományterületekre.</w:t>
      </w:r>
    </w:p>
    <w:p w:rsidR="007348B3" w:rsidRPr="007556F8" w:rsidRDefault="007348B3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6F8">
        <w:rPr>
          <w:rFonts w:ascii="Times New Roman" w:hAnsi="Times New Roman"/>
          <w:sz w:val="24"/>
          <w:szCs w:val="24"/>
          <w:lang w:eastAsia="hu-HU"/>
        </w:rPr>
        <w:t xml:space="preserve">A fókuszcsoport lényegében egy olyan kiscsoportos találkozás, amelyet egy képzett csoportvezető, ún. </w:t>
      </w:r>
      <w:r w:rsidRPr="007556F8">
        <w:rPr>
          <w:rFonts w:ascii="Times New Roman" w:hAnsi="Times New Roman"/>
          <w:b/>
          <w:sz w:val="24"/>
          <w:szCs w:val="24"/>
          <w:lang w:eastAsia="hu-HU"/>
        </w:rPr>
        <w:t xml:space="preserve">moderátor </w:t>
      </w:r>
      <w:r w:rsidRPr="007556F8">
        <w:rPr>
          <w:rFonts w:ascii="Times New Roman" w:hAnsi="Times New Roman"/>
          <w:sz w:val="24"/>
          <w:szCs w:val="24"/>
          <w:lang w:eastAsia="hu-HU"/>
        </w:rPr>
        <w:t>irányít. A fókuszcsoportban részt vevők száma 8–12 fő, ami jó átláthatóságot, irányíthatóságot és kezelhetőséget biztosít a moderátor számára. Napjainkban az 5–7 fős létszám gyakorlata is terjedőben van, ami még bensőségesebb, bizalmasabb és mélyebb megnyilvánulásnak ad teret.</w:t>
      </w:r>
    </w:p>
    <w:p w:rsidR="007348B3" w:rsidRPr="007556F8" w:rsidRDefault="007348B3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6F8">
        <w:rPr>
          <w:rFonts w:ascii="Times New Roman" w:hAnsi="Times New Roman"/>
          <w:sz w:val="24"/>
          <w:szCs w:val="24"/>
          <w:lang w:eastAsia="hu-HU"/>
        </w:rPr>
        <w:t>A fókuszcsoport semmiképpen sem egyszerű csoportos beszélgetés és nem is csoportos interjú legalábbis abban az értelemben nem, hogy a vezető kérdéseire a csoporttagok válaszolnak.</w:t>
      </w:r>
    </w:p>
    <w:p w:rsidR="007348B3" w:rsidRPr="007556F8" w:rsidRDefault="007348B3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6F8">
        <w:rPr>
          <w:rFonts w:ascii="Times New Roman" w:hAnsi="Times New Roman"/>
          <w:sz w:val="24"/>
          <w:szCs w:val="24"/>
          <w:lang w:eastAsia="hu-HU"/>
        </w:rPr>
        <w:t xml:space="preserve">A fókuszcsoport erőssége éppen abban rejlik, hogy </w:t>
      </w:r>
      <w:r w:rsidRPr="007556F8">
        <w:rPr>
          <w:rFonts w:ascii="Times New Roman" w:hAnsi="Times New Roman"/>
          <w:i/>
          <w:iCs/>
          <w:sz w:val="24"/>
          <w:szCs w:val="24"/>
          <w:lang w:eastAsia="hu-HU"/>
        </w:rPr>
        <w:t>kihasználja a csoportban zajló folyamatokat,</w:t>
      </w:r>
      <w:r w:rsidRPr="007556F8">
        <w:rPr>
          <w:rFonts w:ascii="Times New Roman" w:hAnsi="Times New Roman"/>
          <w:sz w:val="24"/>
          <w:szCs w:val="24"/>
          <w:lang w:eastAsia="hu-HU"/>
        </w:rPr>
        <w:t xml:space="preserve"> a fogyasztók </w:t>
      </w:r>
      <w:r w:rsidRPr="007556F8">
        <w:rPr>
          <w:rFonts w:ascii="Times New Roman" w:hAnsi="Times New Roman"/>
          <w:i/>
          <w:iCs/>
          <w:sz w:val="24"/>
          <w:szCs w:val="24"/>
          <w:lang w:eastAsia="hu-HU"/>
        </w:rPr>
        <w:t>egymás közötti kommunikációit.</w:t>
      </w:r>
      <w:r w:rsidRPr="007556F8">
        <w:rPr>
          <w:rFonts w:ascii="Times New Roman" w:hAnsi="Times New Roman"/>
          <w:sz w:val="24"/>
          <w:szCs w:val="24"/>
          <w:lang w:eastAsia="hu-HU"/>
        </w:rPr>
        <w:t xml:space="preserve"> A fókuszcsoport egyedülálló a többi csoportmódszer között, mert nagyobb teret biztosít a csoporttagok közötti kölcsönös eszmecserének, véleményváltásnak (csoportinterakció), és ezáltal jobban szemlélteti, hogy a tagok nézetei, meggyőződései miért alakultak éppen ilyen formában.</w:t>
      </w:r>
    </w:p>
    <w:p w:rsidR="007348B3" w:rsidRPr="007556F8" w:rsidRDefault="007348B3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56F8">
        <w:rPr>
          <w:rFonts w:ascii="Times New Roman" w:hAnsi="Times New Roman"/>
          <w:sz w:val="24"/>
          <w:szCs w:val="24"/>
          <w:lang w:eastAsia="hu-HU"/>
        </w:rPr>
        <w:t>Miért nevezik „fókusz”-csoportnak ezt a kvalitatív piackutatási módszert? A fókusz elnevezésen azt értjük, hogy az ilyen csoportok „gyújtópontba” vesznek egy speciális témát – általában a fogyasztó viszonyát a termékhez, a termék tulajdonságaihoz –, s ettől a középponttól nem térnek el, vagy állandóan visszatérnek rá. A csoportban zajló kommunikációt mindig ebben a gyújtópontban tartják. A cél viszont az, hogy a központi témán belül a fogyasztók csoportja minél szabadabban nyilvánuljon meg.</w:t>
      </w:r>
    </w:p>
    <w:p w:rsidR="007348B3" w:rsidRPr="00816D1F" w:rsidRDefault="007348B3" w:rsidP="00816D1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816D1F">
        <w:rPr>
          <w:rFonts w:ascii="Times New Roman" w:hAnsi="Times New Roman"/>
          <w:b/>
          <w:bCs/>
          <w:sz w:val="27"/>
          <w:szCs w:val="27"/>
          <w:lang w:eastAsia="hu-HU"/>
        </w:rPr>
        <w:t>A fókuszcsoport jellemzői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>A fókuszcsoport olyan adatnyerő eljárás, amellyel kvalitatív természetű információk tárhatók fel a fogyasztók szükségleteiről, igényeiről, termék- vagy márkaválasztási indítékairól.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b/>
          <w:sz w:val="24"/>
          <w:szCs w:val="24"/>
          <w:lang w:eastAsia="hu-HU"/>
        </w:rPr>
        <w:t>A fókuszcsoportokat úgy állítják össze, hogy az „homogén” legyen</w:t>
      </w:r>
      <w:r w:rsidRPr="00816D1F">
        <w:rPr>
          <w:rFonts w:ascii="Times New Roman" w:hAnsi="Times New Roman"/>
          <w:sz w:val="24"/>
          <w:szCs w:val="24"/>
          <w:lang w:eastAsia="hu-HU"/>
        </w:rPr>
        <w:t>. Ez azt jelenti, hogy a csoporttagokat az azonos fogyasztói beállítódás alapján választják ki. Másrészt ügyelnek arra, hogy a résztvevők lehetőleg ne legyenek ismerősek egymásnak. Megjegyzendő, hogy speciális marketingstratégai célok esetén „heterogén” csoportokat képeznek, azaz nem ugyanazon (esetleg ellentétes) fogyasztói szokásokat képviselő embereket hívnak meg a fókuszcsoportokba.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>A fókuszcsoport bevonja a résztvevőket a csoport folyamatába, amit a kis létszám és a moderátor szakmai felkészültsége biztosít. Ha a csoportlétszám túl nagy (12 főnél nagyobb), fennáll az alcsoportokra szakadás veszélye, és nem jut mindenkinek elég idő a megnyilvánulásra. Ez abból is észrevehető, hogy a résztvevők egyike-másika elkezd a szomszédjával beszélgetni, sugdolózni.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>A fókuszcsoportokban mindig van egy központi téma (a „fókusz”, a „gyújtópont”), ami éppen a vizsgálat célját képezi.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>A fókuszcsoportokat sorozatban készítik, mert több vizsgálat szükséges ahhoz, hogy a fogyasztói preferenciák trendjei, a termék tulajdonságaihoz való viszony mintázatai feltárhatóak legyenek.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>Az interjú sokféle helyszínen lebonyolítható, de legjobb egy speciálisan e célra tervezett terem, detektívtükörrel és rögzítési lehetőségekkel. A fókuszcsoport többször is megismételhető különböző emberekkel, általában 2–3 csoportot tartanak egy témában, de akár egy tucatot is lehet.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0" w:name="id534415"/>
      <w:bookmarkEnd w:id="0"/>
      <w:r w:rsidRPr="00816D1F">
        <w:rPr>
          <w:rFonts w:ascii="Times New Roman" w:hAnsi="Times New Roman"/>
          <w:b/>
          <w:bCs/>
          <w:sz w:val="27"/>
          <w:szCs w:val="27"/>
          <w:lang w:eastAsia="hu-HU"/>
        </w:rPr>
        <w:t>A fókuszcsoportok alkalmazása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>Napjaink társadalomtudományi kutatásaiban háromféle alkalmazási móddal találkozhatunk: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 xml:space="preserve">A fókuszcsoportokat önálló módszerként alkalmazzák, ekkor a </w:t>
      </w:r>
      <w:r w:rsidRPr="00816D1F">
        <w:rPr>
          <w:rFonts w:ascii="Times New Roman" w:hAnsi="Times New Roman"/>
          <w:b/>
          <w:sz w:val="24"/>
          <w:szCs w:val="24"/>
          <w:lang w:eastAsia="hu-HU"/>
        </w:rPr>
        <w:t>kutatás fő adatforrásaként</w:t>
      </w:r>
      <w:r w:rsidRPr="00816D1F">
        <w:rPr>
          <w:rFonts w:ascii="Times New Roman" w:hAnsi="Times New Roman"/>
          <w:sz w:val="24"/>
          <w:szCs w:val="24"/>
          <w:lang w:eastAsia="hu-HU"/>
        </w:rPr>
        <w:t xml:space="preserve"> szolgál.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b/>
          <w:sz w:val="24"/>
          <w:szCs w:val="24"/>
          <w:lang w:eastAsia="hu-HU"/>
        </w:rPr>
        <w:t>Kiegészítő adatforrásként</w:t>
      </w:r>
      <w:r w:rsidRPr="00816D1F">
        <w:rPr>
          <w:rFonts w:ascii="Times New Roman" w:hAnsi="Times New Roman"/>
          <w:sz w:val="24"/>
          <w:szCs w:val="24"/>
          <w:lang w:eastAsia="hu-HU"/>
        </w:rPr>
        <w:t xml:space="preserve"> szolgál, ekkor a kutatás más módszereken alapszik, általában elsődleges a kvantitatív kutatás, ezt előzi meg vagy követi a kvalitatív adatgyűjtés.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b/>
          <w:sz w:val="24"/>
          <w:szCs w:val="24"/>
          <w:lang w:eastAsia="hu-HU"/>
        </w:rPr>
        <w:t>Többmódszeres kutatás</w:t>
      </w:r>
      <w:r w:rsidRPr="00816D1F">
        <w:rPr>
          <w:rFonts w:ascii="Times New Roman" w:hAnsi="Times New Roman"/>
          <w:sz w:val="24"/>
          <w:szCs w:val="24"/>
          <w:lang w:eastAsia="hu-HU"/>
        </w:rPr>
        <w:t>, ilyenkor több adatgyűjtési módszert kombinálnak, de minden módszer egyenrangú.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6D1F">
        <w:rPr>
          <w:rFonts w:ascii="Times New Roman" w:hAnsi="Times New Roman"/>
          <w:sz w:val="24"/>
          <w:szCs w:val="24"/>
          <w:lang w:eastAsia="hu-HU"/>
        </w:rPr>
        <w:t>A fókuszcsoportok alkalmazása a kutatási program bármely pontján hasznos lehet, de különösen hasznos a kutatás felfedező szakaszában, amikor még keveset tudunk a vizsgált dologról. Ezért a fókuszcsoportot általában a kutatási projekt kezdetén alkalmazzák, és olyan típusú kutatás követi, amely kvantifikálható adatokat nyújt egy nagyobb létszámú csoportról. Hasznos lehet a fókuszcsoportos vizsgálat a nagyobb léptékű kvantitatív felmérés elemzésében is, mert megkönnyíti a kvantitatív adatok értelmezését, illetve megerősítheti a felállított hipotéziseket.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" w:name="id534431"/>
      <w:bookmarkEnd w:id="1"/>
      <w:r w:rsidRPr="00816D1F">
        <w:rPr>
          <w:rFonts w:ascii="Times New Roman" w:hAnsi="Times New Roman"/>
          <w:b/>
          <w:bCs/>
          <w:sz w:val="27"/>
          <w:szCs w:val="27"/>
          <w:lang w:eastAsia="hu-HU"/>
        </w:rPr>
        <w:t>A fókuszcsoportok célja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Általános háttér-információk gyűjtése egy adott témában.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Új program, termék, szolgáltatás bevezetése során jelentkező potenciális problémák vizsgálata.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Új, kreatív ötletek nyerése a fogyasztók megnyilatkozásaiból, pl. a fogyasztók elmondják, hogy hogyan használják a terméket, mit szeretnek benne, mit nem, ezzel alapötleteket szolgáltatnak a kreatív csoport számára.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A fogyasztók által használt szavak összegyűjtése, ebből a fogyasztói szótár létrehozása, amely segítséget ad a kérdőívek összeállításában.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Az alapvető fogyasztói szükségletek és attitűdök feltárása.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Információt szerezhetünk az új termékötletek főbb erősségeiről és gyenge pontjairól, ez segíthet az új termékkoncepciók kialakításában.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Új ötletek nyerése a piacteremtésre abból, ahogyan a fogyasztók beszélnek arról, hogyan fedezik fel egy-egy termék alternatív használati módjait. Ezzel segítenek a marketingszakembereknek, hogy a régi termékekhez új használati módokat találjanak.</w:t>
      </w:r>
    </w:p>
    <w:p w:rsidR="007348B3" w:rsidRPr="00F72187" w:rsidRDefault="007348B3" w:rsidP="00F7218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2187">
        <w:rPr>
          <w:rFonts w:ascii="Times New Roman" w:hAnsi="Times New Roman"/>
          <w:sz w:val="24"/>
          <w:szCs w:val="24"/>
          <w:lang w:eastAsia="hu-HU"/>
        </w:rPr>
        <w:t>Korábbi kvantitatív adatok értelmezése, feldolgozása; néhány esetben a kutatási folyamat utolsó lépcsője a fókuszcsoport; melynek feladata, hogy igazolja a korábbi kvantitatív vizsgálatok eredményeit.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2" w:name="id534453"/>
      <w:bookmarkEnd w:id="2"/>
      <w:r w:rsidRPr="00816D1F">
        <w:rPr>
          <w:rFonts w:ascii="Times New Roman" w:hAnsi="Times New Roman"/>
          <w:b/>
          <w:bCs/>
          <w:sz w:val="27"/>
          <w:szCs w:val="27"/>
          <w:lang w:eastAsia="hu-HU"/>
        </w:rPr>
        <w:t>A fókuszcsoportok előnyei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 xml:space="preserve">A csoporttagok egymással való kommunikációiból, </w:t>
      </w:r>
      <w:r w:rsidRPr="00C36D1C">
        <w:rPr>
          <w:rFonts w:ascii="Times New Roman" w:hAnsi="Times New Roman"/>
          <w:i/>
          <w:iCs/>
          <w:sz w:val="24"/>
          <w:szCs w:val="24"/>
          <w:lang w:eastAsia="hu-HU"/>
        </w:rPr>
        <w:t>véleménycseréjéből származó többlet.</w:t>
      </w:r>
      <w:r w:rsidRPr="00C36D1C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C36D1C">
        <w:rPr>
          <w:rFonts w:ascii="Times New Roman" w:hAnsi="Times New Roman"/>
          <w:sz w:val="24"/>
          <w:szCs w:val="24"/>
          <w:lang w:eastAsia="hu-HU"/>
        </w:rPr>
        <w:t>Bizonyos fokú vonzódás jön létre a csoporttagok között, hiszen a résztvevők jellemzői, élményei hasonlóak. Ha összeültetünk tíz fogyasztót, a tőlük nyert információ gyakran többet nyújt, mint amit ugyanennyi egyedi interjúból kaptunk volna. Az emberek látják és hallgatják egymást, gyakran egyetértésüket, vagy nemtetszésüket fejezik ki. Annyira serkentik egymást, hogy a kutató a végén sokkal jobban megérti viselkedésüket és motivációikat.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 xml:space="preserve">Lehetővé teszi a csoportvezetőnek, hogy a </w:t>
      </w:r>
      <w:r w:rsidRPr="00C36D1C">
        <w:rPr>
          <w:rFonts w:ascii="Times New Roman" w:hAnsi="Times New Roman"/>
          <w:i/>
          <w:iCs/>
          <w:sz w:val="24"/>
          <w:szCs w:val="24"/>
          <w:lang w:eastAsia="hu-HU"/>
        </w:rPr>
        <w:t>spontánul felmerülő összefüggéseknek</w:t>
      </w:r>
      <w:r w:rsidRPr="00C36D1C">
        <w:rPr>
          <w:rFonts w:ascii="Times New Roman" w:hAnsi="Times New Roman"/>
          <w:sz w:val="24"/>
          <w:szCs w:val="24"/>
          <w:lang w:eastAsia="hu-HU"/>
        </w:rPr>
        <w:t xml:space="preserve"> is a mélyére hatoljon, és ezeket kreatív módon ki tudja vizsgáltatni a fogyasztói csoporttal.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 xml:space="preserve">Az eredmények </w:t>
      </w:r>
      <w:r w:rsidRPr="00C36D1C">
        <w:rPr>
          <w:rFonts w:ascii="Times New Roman" w:hAnsi="Times New Roman"/>
          <w:i/>
          <w:iCs/>
          <w:sz w:val="24"/>
          <w:szCs w:val="24"/>
          <w:lang w:eastAsia="hu-HU"/>
        </w:rPr>
        <w:t>könnyen érthetők</w:t>
      </w:r>
      <w:r w:rsidRPr="00C36D1C">
        <w:rPr>
          <w:rFonts w:ascii="Times New Roman" w:hAnsi="Times New Roman"/>
          <w:sz w:val="24"/>
          <w:szCs w:val="24"/>
          <w:lang w:eastAsia="hu-HU"/>
        </w:rPr>
        <w:t xml:space="preserve"> a megrendelő számára; ritkán használnak bonyolult matematikai-statisztikai bizonyítási eljárásokat. A szóhasználat olyan fogyasztói preferenciákat tükröz, melyeket akárki saját tapasztalatai alapján (vagy azok kiterjesztésével) képes megérteni.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>A fókuszcsoportban sokféle érdekes tevékenység és feladat valósítható meg, amelyek közül kevés lenne beilleszthető a kvantitatív kutatásba.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>A fókuszcsoportok ideálisak a feltáró jellegű marketingkutatás szempontjából.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>Személyes interakció: a kutatást végző személy közvetlenül találkozik a válaszadóval. Ez módot ad arra, hogy tisztázzák a válaszokat, illetve megfigyelje a nonverbális reakciókat, amelyek kiegészítő információkat hordozhatnak.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>A résztvevők saját szavaikkal fejezik ki a véleményüket, nem pedig előre megadott válaszlehetőségek közül választanak, így spontán reakciók is megnyilvánulhatnak.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i/>
          <w:iCs/>
          <w:sz w:val="24"/>
          <w:szCs w:val="24"/>
          <w:lang w:eastAsia="hu-HU"/>
        </w:rPr>
        <w:t>Rugalmasság:</w:t>
      </w:r>
      <w:r w:rsidRPr="00C36D1C">
        <w:rPr>
          <w:rFonts w:ascii="Times New Roman" w:hAnsi="Times New Roman"/>
          <w:sz w:val="24"/>
          <w:szCs w:val="24"/>
          <w:lang w:eastAsia="hu-HU"/>
        </w:rPr>
        <w:t xml:space="preserve"> a témák széles skálája vizsgálható a legkülönbözőbb egyének részvételével.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i/>
          <w:iCs/>
          <w:sz w:val="24"/>
          <w:szCs w:val="24"/>
          <w:lang w:eastAsia="hu-HU"/>
        </w:rPr>
        <w:t>Egyedülálló:</w:t>
      </w:r>
      <w:r w:rsidRPr="00C36D1C">
        <w:rPr>
          <w:rFonts w:ascii="Times New Roman" w:hAnsi="Times New Roman"/>
          <w:sz w:val="24"/>
          <w:szCs w:val="24"/>
          <w:lang w:eastAsia="hu-HU"/>
        </w:rPr>
        <w:t xml:space="preserve"> a fókuszcsoport talán az egyetlen kutatási módszer, amellyel adatokat gyűjthetünk gyermekektől és írni-olvasni nem tudó személyektől is.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>A megbízó a detektívtükör mögül figyelheti az interjút.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sz w:val="24"/>
          <w:szCs w:val="24"/>
          <w:lang w:eastAsia="hu-HU"/>
        </w:rPr>
        <w:t xml:space="preserve">A mélyinterjúhoz képest </w:t>
      </w:r>
      <w:r w:rsidRPr="00C36D1C">
        <w:rPr>
          <w:rFonts w:ascii="Times New Roman" w:hAnsi="Times New Roman"/>
          <w:i/>
          <w:iCs/>
          <w:sz w:val="24"/>
          <w:szCs w:val="24"/>
          <w:lang w:eastAsia="hu-HU"/>
        </w:rPr>
        <w:t>olcsó,</w:t>
      </w:r>
      <w:r w:rsidRPr="00C36D1C">
        <w:rPr>
          <w:rFonts w:ascii="Times New Roman" w:hAnsi="Times New Roman"/>
          <w:sz w:val="24"/>
          <w:szCs w:val="24"/>
          <w:lang w:eastAsia="hu-HU"/>
        </w:rPr>
        <w:t xml:space="preserve"> mert egyszerre több emberrel zajlik a vizsgálat.</w:t>
      </w:r>
    </w:p>
    <w:p w:rsidR="007348B3" w:rsidRPr="00C36D1C" w:rsidRDefault="007348B3" w:rsidP="00C36D1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36D1C">
        <w:rPr>
          <w:rFonts w:ascii="Times New Roman" w:hAnsi="Times New Roman"/>
          <w:i/>
          <w:iCs/>
          <w:sz w:val="24"/>
          <w:szCs w:val="24"/>
          <w:lang w:eastAsia="hu-HU"/>
        </w:rPr>
        <w:t>Gyorsaság:</w:t>
      </w:r>
      <w:r w:rsidRPr="00C36D1C">
        <w:rPr>
          <w:rFonts w:ascii="Times New Roman" w:hAnsi="Times New Roman"/>
          <w:sz w:val="24"/>
          <w:szCs w:val="24"/>
          <w:lang w:eastAsia="hu-HU"/>
        </w:rPr>
        <w:t xml:space="preserve"> néhány nap alatt több fókuszcsoport kvalitatív adatai feldolgozhatók, a jelentés megírható.</w:t>
      </w:r>
    </w:p>
    <w:p w:rsidR="007348B3" w:rsidRPr="00816D1F" w:rsidRDefault="007348B3" w:rsidP="00816D1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3" w:name="id534511"/>
      <w:bookmarkEnd w:id="3"/>
      <w:r w:rsidRPr="00816D1F">
        <w:rPr>
          <w:rFonts w:ascii="Times New Roman" w:hAnsi="Times New Roman"/>
          <w:b/>
          <w:bCs/>
          <w:sz w:val="27"/>
          <w:szCs w:val="27"/>
          <w:lang w:eastAsia="hu-HU"/>
        </w:rPr>
        <w:t>A fókuszcsoportok hátrányai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 moderátornak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kisebb az ellenőrzési lehetősége</w:t>
      </w: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BB70D2">
        <w:rPr>
          <w:rFonts w:ascii="Times New Roman" w:hAnsi="Times New Roman"/>
          <w:sz w:val="24"/>
          <w:szCs w:val="24"/>
          <w:lang w:eastAsia="hu-HU"/>
        </w:rPr>
        <w:t>a csoportfolyamatok felett, mint az egyéni mélyinterjúban. Előfordulhat, hogy a csoportos kommunikáció és a nézeteltérésekből származó konfliktusok miatt nehezebben tartható kézben a folyamat.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kapott információ nem kvantitatív, és nem vonatkoztatható a vizsgált népesség egészére.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fókuszcsoportokban néha torzítások is előfordulnak. Amennyiben ezt tapasztaljuk, nem lehetünk biztosak abban, hogy a fogyasztók valós érzéseiket és preferenciáikat közölték.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Az adatok sokszor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nehezen értelmezhetők.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A csoport egy összetett társas környezet, s az adatokat ebben az összefüggésrendszerben kell értelmezni, minden változót ebben az élő szociális közegben kell figyelembe venni.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kvantitatív kérdőívekkel szemben a fogyasztók véleménye nyomtatott formában nem hozzáférhető. Ez bonyolultabbá teszi a megállapítások elemzését és a tanulmány megírását. A magnó- vagy videokazetták leírhatók ugyan, de az átírás költséges és időigényes.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Speciális képzettséget igényel.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A gyakorlott csoportvezető eszköztárában szerepel a csendekből való kimozdítás képessége, az alcsoportokra bomlásból eredő konfliktusoknak, a nehéz csoporttagoknak a kezelési technikái. A moderátornak jó arányérzékkel kell figyelemmel kísérnie azt is, hogy milyen mértékben mélyüljön el egy-egy témában, s amikor a beszélgetés mellékvágányra csúszik, térjen vissza a „fókuszba”.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moderátor befolyásolhatja a résztvevőket: tudatosan vagy tudattalanul, verbálisan vagy nonverbálisan bátoríthat bizonyos válaszokat.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 csoportok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energetikai szintje,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hangulata nagyon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különböző</w:t>
      </w: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BB70D2">
        <w:rPr>
          <w:rFonts w:ascii="Times New Roman" w:hAnsi="Times New Roman"/>
          <w:sz w:val="24"/>
          <w:szCs w:val="24"/>
          <w:lang w:eastAsia="hu-HU"/>
        </w:rPr>
        <w:t>lehet. Az egyik csoport lassan folyó, nehezen közlő, a másik mozgalmas és energikus, ami komoly különbségeket jelenthet a fókuszcsoportok adatainak feldolgozásakor. Ezt a hátrányt úgy szokás elkerülni, hogy több csoportot vesznek be a kvalitatív vizsgálatba, amelyek kiegyensúlyozzák egymást.</w:t>
      </w:r>
    </w:p>
    <w:p w:rsidR="007348B3" w:rsidRPr="00BB70D2" w:rsidRDefault="007348B3" w:rsidP="00BB70D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Nehezen szervezhető,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mert előre megbeszélt pontos időre és helyre kell meghívni azt a 8–12 fogyasztót, akik a csoportot alkotják. Ezért sokszor a biztonság kedvéért néhány emberrel többet hívnak az egyes alkalmakra.</w:t>
      </w:r>
    </w:p>
    <w:p w:rsidR="007348B3" w:rsidRPr="00BB70D2" w:rsidRDefault="007348B3" w:rsidP="000D1755">
      <w:pPr>
        <w:tabs>
          <w:tab w:val="left" w:pos="6360"/>
        </w:tabs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BB70D2">
        <w:rPr>
          <w:rFonts w:ascii="Times New Roman" w:hAnsi="Times New Roman"/>
          <w:b/>
          <w:bCs/>
          <w:sz w:val="27"/>
          <w:szCs w:val="27"/>
          <w:lang w:eastAsia="hu-HU"/>
        </w:rPr>
        <w:t>A fókuszcsoportok fajtái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ab/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kvalitatív vizsgálat céljainak és formájának megfelelően az alábbi csoportokat különböztetjük meg: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homogén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fókuszcsoport.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heterogén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fókuszcsoport.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hosszú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fókuszcsoport, három és fél, négyórás csoport, aminek célja a kezdeti bemelegítő szakasz után a nagyobb feloldódás és megnyílás. Ezáltal a probléma minden részlete minden oldalról jól kiaknázható.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</w:t>
      </w: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visszahívott </w:t>
      </w:r>
      <w:r w:rsidRPr="00BB70D2">
        <w:rPr>
          <w:rFonts w:ascii="Times New Roman" w:hAnsi="Times New Roman"/>
          <w:sz w:val="24"/>
          <w:szCs w:val="24"/>
          <w:lang w:eastAsia="hu-HU"/>
        </w:rPr>
        <w:t>fókuszcsoport. Időszakonként ismételten találkoznak, s a moderátor a fókuszproblémán túl azt is figyelemmel kíséri, hogy milyen hatások és változások érik időközben a csoporttagokat az egyes találkozások alkalmával vagy azon kívül, a mindennapi életben. A végső cél a fogyasztó termékhez (vagy a reklámhoz) való viszonyának, alakulásának, esetleg elköteleződésének nyomon követése.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 xml:space="preserve">mini </w:t>
      </w:r>
      <w:r w:rsidRPr="00BB70D2">
        <w:rPr>
          <w:rFonts w:ascii="Times New Roman" w:hAnsi="Times New Roman"/>
          <w:sz w:val="24"/>
          <w:szCs w:val="24"/>
          <w:lang w:eastAsia="hu-HU"/>
        </w:rPr>
        <w:t>fókuszcsoport elnevezés az időbeli rövidségre utal. Olyan helyzetekben használják, amikor egy szűk stratégiai elképzelés „tesztelése” a cél.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4" w:name="id534602"/>
      <w:bookmarkEnd w:id="4"/>
      <w:r w:rsidRPr="00BB70D2">
        <w:rPr>
          <w:rFonts w:ascii="Times New Roman" w:hAnsi="Times New Roman"/>
          <w:b/>
          <w:bCs/>
          <w:sz w:val="27"/>
          <w:szCs w:val="27"/>
          <w:lang w:eastAsia="hu-HU"/>
        </w:rPr>
        <w:t>A fókuszcsoport tervezése és alkalmazásának lépései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348F">
        <w:rPr>
          <w:rFonts w:ascii="Times New Roman" w:hAnsi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www.tankonyvtar.hu/en/tartalom/tkt/marketingkutatas/kepek/sz-01-mark.jpg" style="width:427.5pt;height:435pt;visibility:visible">
            <v:imagedata r:id="rId7" o:title=""/>
          </v:shape>
        </w:pic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tervezés egyszerűnek tűnik, pedig a kutatási folyamat legösszetettebb része. A sikeres tervezés alapfeltétele, hogy gondolatainkat papírra vessük, és azt másokkal is megbeszéljük, tőlük visszajelzést kapjunk. Ez azért szükséges, hogy túl tudjunk lépni saját személyes tapasztalatainkon, és megismerjük kollégáink véleményét. A sikeres tervezés elfogadható eredményeket, hatékony időtervezést és ezzel arányos költségvetést ígér.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tervezésre úgy kell gondolnunk, mint olyan idő- és energiabefektetésre, amellyel megelőzhetjük, hogy jelentős költséggel járó hibákat kövessünk el. A terv mindig a cél felé irányítja a kutatást, és lehetővé teszi a kutató számára, hogy az adott idő- és költségkorlátok között odaérkezzen, ahová menni akart.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cél meghatározása. </w:t>
      </w:r>
      <w:r w:rsidRPr="00BB70D2">
        <w:rPr>
          <w:rFonts w:ascii="Times New Roman" w:hAnsi="Times New Roman"/>
          <w:sz w:val="24"/>
          <w:szCs w:val="24"/>
          <w:lang w:eastAsia="hu-HU"/>
        </w:rPr>
        <w:t>A tervezés a kutatási cél meghatározásával kezdődik. Amikor a kutató megkapja a megbízást, szükséges, hogy tisztázzák a megbízóval a probléma természetét, és hogy mit vár a megbízó a kutatástól. A következő kérdések megválaszolása segít a célok meghatározásában: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Miért ezt a kutatási módszert választották/választottuk?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Milyen információkat fogunk kapni? Melyeknek van kiemelt jelentősége?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Hogyan lehet ezeket az információkat felhasználni?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El kell döntenünk, hogy hány fókuszcsoportot tartunk. Ez több tényező függvénye: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Hány különböző fogyasztói típust tanulmányozunk?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Keresünk-e regionális eltéréseket?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Mennyi idő és pénz áll rendelkezésünkre?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csoportok számának növelésével arányosan általában kevesebb információhoz jutunk. Célszerű két-három csoporttal kezdeni, és csak akkor folytatni tovább, ha még mindig jókora mennyiségű új információ bukkan fel.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cél meghatározása után feltétlenül készítsünk időtervet, és becsüljük meg a költségeket!</w:t>
      </w: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időterv</w:t>
      </w: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az egymást követő lépések táblázata, amelyben feltüntetjük az elvégzendő feladatokat és a feladatokhoz rendelt személyeket. Tartalmazza a dátumokat, a fontosabb lépéseket, a felelős személyek, asszisztensek neveit, valamint egyéb, lényegesnek ítélt megjegyzéseinket. A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pénzügyi terv</w:t>
      </w: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BB70D2">
        <w:rPr>
          <w:rFonts w:ascii="Times New Roman" w:hAnsi="Times New Roman"/>
          <w:sz w:val="24"/>
          <w:szCs w:val="24"/>
          <w:lang w:eastAsia="hu-HU"/>
        </w:rPr>
        <w:t>a kutatás költségvetési összegzése, amely tartalmazza az időterv mellett az egyéb teendőket és a várható kiadásokat is. A várható főbb kiadások, amelyekkel mindig számolnunk kell: a moderátor fizetése, utazási költsége, a terem bérleti díja (ha nem saját teremben tartjuk az interjút), a résztvevők díjazása, a rögzítéshez szükséges eszközök és az azt végző személyek költségei.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>A célcsoport és a hely megválasztása.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Első lépésként tegyük fel és gondoljuk át a következő kérdéseket: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Hogyan tudok résztvevőket toborozni?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Milyen embereket hívjak, hasonlókat vagy különbözőket?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Milyen ösztönzésre van szükség (ajándék, pénz)?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Hol lenne a legjobb hely a beszélgetésre?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Milyen kérdéseket lehetne feltenni?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tervezés fázisában kérjük ki a kollégák tanácsát is!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Találkozzunk és beszélgessünk olyan emberekkel, akik a célcsoportunkba tartoznak, akiket ismerünk és megbízunk bennük. Ezek lehetnek egyéni interjúk vagy csoportos beszélgetések, esetleg ebédelhetünk együtt, és tanácsot kérhetünk, hogyan is fogjunk hozzá a toborzáshoz.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toborzás lehetséges telefonon vagy szűrő kérdőívek segítségével. A toborzást legalább 10 nappal az egyes csoportfoglalkozások előtt végezzük el, így a résztvevőknek elegendő idejük marad, hogy e programot napirendjükbe iktathassák.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Szükség van arra is, hogy valamilyen ösztönzőt (készpénzt vagy ajándékot) válaszszunk, amellyel megköszönjük a résztvevőknek, hogy időt szakítottak ránk. Bár nehéz volna teljes mértékben honorálni a résztvevők idejét és fáradságát, mindig sikert aratunk még a szerény ajándékkal is.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fókuszcsoportos interjúhoz mindig semleges környezetet válasszunk, mert a helyszín is befolyásolhatja a résztvevők válaszait. A fókuszcsoportok sokféle helyszínen lebonyolíthatók, pl. hotelszobákban, éttermekben, magánlakásokban, középületekben stb. Fontos, hogy a helyszín legyen könnyen megtalálható és külső zavaró hatásoktól mentes. Ha lehet, a moderátor vizsgálja meg előre a helyet, és figyelje meg az olyan tényezőket, amelyek megzavarhatják vagy félbeszakíthatják a beszélgetést. Lehetetlenné teszi a beszélgetés rögzítését pl. a háttérzene vagy a szellőztető rendszer zúgása. Igyekezzünk elkerülni a figyelemelterelő tényezőket, pl. a forgalmas helyekre néző, nagy ablakokat.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teremben úgy rendezzük el a székeket, hogy a résztvevők lehetőleg körben üljenek, és mindenkinek legyen elég helye. A piackutató cégeknél speciálisan erre a célra kialakított szobák vannak ovális asztalokkal, beépített mikrofonnal és detektívtükörrel. A tükör mögötti szobában ül(het)nek a megbízók, és figyelik a beszélgetést, amelyet általában videóra is rögzítenek. Egyes cégek különböznek abban, hogy hol, mekkora szerepet játszik a detektívtükör. A legtöbb helyen beszélnek a résztvevőknek a tükörről és a mögötte ülőkről, máshol a tükröt meg sem említik. Előfordul az is, hogy a tükör rejtetten van elhelyezve. A korrekt eljárás az, ha közlik a résztvevőkkel, hogy megfigyelik őket, és rögzítik a beszélgetést.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Egyes kutatók szerint a fókuszcsoport videóra rögzítése több negatívummal jár, mint pozitívummal, ugyanis a hiteles rögzítéshez több kamerára, több emberre van szükség, akik kezelik a kamerákat, és ez zavarhatja, illetve befolyásolhatja a résztvevők viselkedését.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Döntenünk kell arról is, hogy milyen napon és mely napszakban tartsuk a foglalkozásokat. Általában e célra a kedd, a szerda és a csütörtök a legjobb, a hétfő és a péntek már kevésbé alkalmas a résztvevőknek, a szombat és a vasárnap pedig kifejezetten alkalmatlan. A napszakokat tekintve a fogyasztók számára a legjobb a kora esti csoport, míg a déli vagy akár a reggeli csoportok a vezetők számára lehetnek a legjobbak. Mivel a résztvevők gyakran kihagynak egy étkezést, hogy megjelenjenek csoportfoglalkozásainkon, helyes, ha étellel, itallal kínáljuk őket.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moderátorral szemben támasztott szakmai követelmények. </w:t>
      </w:r>
      <w:r w:rsidRPr="00BB70D2">
        <w:rPr>
          <w:rFonts w:ascii="Times New Roman" w:hAnsi="Times New Roman"/>
          <w:sz w:val="24"/>
          <w:szCs w:val="24"/>
          <w:lang w:eastAsia="hu-HU"/>
        </w:rPr>
        <w:t>Az interjúkészítés és fókuszcsoport-vezetés szakképzettséget, összpontosítást, vezetési és csoportdinamikai ismereteket követel. A kvalitatív piackutatást általában pszichológus végzettségű szakember vezeti.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Milyen a jó moderátor?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Kíváncsi mások gondolataira, érzéseire; jó hallgató,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képes a mélyebb összefüggések meglátására és ezek feltárására,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aktívan kérdez, s ugyanezt azt aktivitást sugallja másoknak,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nem tudományos, komolykodó, hanem gyakorlati beállítódású, s ezt a praktikus szemléletet képes mozgósítani a csoporttagokban is,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van humorérzéke,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empatikus, rugalmas,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gyorsan tanul, kitűnő a memóriája és összegzőképessége,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jó a kommunikációs készsége.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moderátor csoportvezetési stílusa. </w:t>
      </w:r>
      <w:r w:rsidRPr="00BB70D2">
        <w:rPr>
          <w:rFonts w:ascii="Times New Roman" w:hAnsi="Times New Roman"/>
          <w:sz w:val="24"/>
          <w:szCs w:val="24"/>
          <w:lang w:eastAsia="hu-HU"/>
        </w:rPr>
        <w:t>Két alapvető csoportvezetési stílust különböztethetünk meg: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Nem irányító.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Az ilyen csoportvezető csak a szükséges minimumot teszi meg annak érdekében, hogy biztosítsa a csoport haladását és az interjúvázlatban foglalt alapvető pontok teljesítését. Az ilyen típusú vezető nem beszél sokat, és soha nem fejti ki személyes véleményét. Ez a csoportvezetési stílus a Freud-féle pszichoanalitikusokéhoz hasonlít, akik csak ülnek a páciens kerevete mellett, és nagy ritkán bólintanak, vagy egy-egy bátorító szót mormolnak annak érdekében, hogy a páciens folytassa a beszédet.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Pr="00BB70D2">
        <w:rPr>
          <w:rFonts w:ascii="Times New Roman" w:hAnsi="Times New Roman"/>
          <w:i/>
          <w:iCs/>
          <w:sz w:val="24"/>
          <w:szCs w:val="24"/>
          <w:lang w:eastAsia="hu-HU"/>
        </w:rPr>
        <w:t>irányító</w:t>
      </w:r>
      <w:r w:rsidRPr="00BB70D2">
        <w:rPr>
          <w:rFonts w:ascii="Times New Roman" w:hAnsi="Times New Roman"/>
          <w:sz w:val="24"/>
          <w:szCs w:val="24"/>
          <w:lang w:eastAsia="hu-HU"/>
        </w:rPr>
        <w:t xml:space="preserve"> moderátor gyakran belefolyik a vitába, kifejti egyéni véleményét vagy ellentmond egy-egy résztvevőnek. Soha nem lehet azonban tolakodó vagy fenyegető.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fókuszcsoport vezetése egyfajta művészet, megköveteli a moderátortól, hogy többféle szerepet játsszon el egy csoportban. A jó moderátor tapintatosan bevonja a fogyasztókat a kutatásba, beszélgetésre, hozzászólásra bátorítja őket. Hagyja, hogy a beszélgetés természetesen, minimális beavatkozással folyjon. Figyeli a beszélgetést, majd összegzésként vagy egy-egy témaváltáskor visszaidézi a résztvevők megállapításait; kerüli a bírálatot és az utasítgatást.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moderátor diszkréten irányítja, felügyeli a csoportot. A társalgás során felmerülhetnek nem a kutatáshoz tartozó témák, ilyenkor finoman visszatereli a beszélgetést az eredeti célhoz. A jó moderátor képes arra, hogy megoldja ezeket a helyzeteket, és továbbra is fenntartsa a résztvevők lelkesedését, érdeklődését.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fókuszcsoport irányítása önfegyelmet követel. Kezdő moderátorok gyakran elkövetik azt a hibát, hogy nem tudják visszatartani saját véleményüket. Valóban nehéz lehet kedvesen mosolyogni és megköszönni a részvételt, ha az adott személy nem volt elég intelligens a beszélgetés során, vagy kritizálta a programot, de akkor is udvariasan kell vele viselkedni. A résztvevők tisztelete az egyik legfontosabb tényező, amely befolyásolja a kutatás eredményét. A moderátornak őszintén hinnie kell a résztvevők bölcsességében attól függetlenül, hogy milyen az iskolai végzettségük, milyen tapasztalatokkal rendelkeznek, honnan jöttek. Gyakran előfordul, hogy a negyedik vagy az ötödik fókuszcsoport után a moderátor ugyanazokat a véleményeket hallja, amelyeket már néhányszor hallott a korábbi csoportokban, de ilyenkor is figyelmesen kell hallgatnia úgy, mintha mindent először hallana.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Az interjúvázlat kidolgozása. </w:t>
      </w:r>
      <w:r w:rsidRPr="00BB70D2">
        <w:rPr>
          <w:rFonts w:ascii="Times New Roman" w:hAnsi="Times New Roman"/>
          <w:sz w:val="24"/>
          <w:szCs w:val="24"/>
          <w:lang w:eastAsia="hu-HU"/>
        </w:rPr>
        <w:t>Az interjúvázlat kialakítása nem egyedül a moderátor feladata, felelőssége. Sőt, előfordulhat, hogy a moderátort csak azután választják ki, hogy a kutatás menetrendjét meghatározták és az interjúvázlat piszkozatát is elkészítették. Az interjúvázlatot a kutatásban érdekelt csoportoknak együttes munkával kell elkészíteniük. A munka közben nem szabad elfelejteni, hogy a vázlatnak az a feladata, hogy meghatározza a beszélgetés irányvonalát. Az interjúvázlat nem azonos a kérdőív szóbeli változatával, annál kevésbé strukturált, csak kérdéseket tartalmaz, és nem utal a lehetséges válaszokra.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Hogyan készítsünk interjúvázlatot?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Feltétlenül legyünk tisztában a kutatás céljával, mielőtt leülünk megírni az interjúvázlatot! Ezeket az ismereteket csak a megbízóval való találkozások és/vagy az általa küldött anyagok alapján szerezhetjük meg.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Fontos, hogy tudjunk valamit azokról a fogyasztókról, akik csoportunk résztvevői lesznek! Próbáljuk megtudni, mekkora ismeretanyaggal rendelkeznek az adott témával kapcsolatban, és hogy milyen stílusban beszélnek.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Vegyük figyelembe, hogy mennyi időnk lesz a fókuszcsoportra!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Minden interjúvázlatot kezdjünk rövid bevezetéssel! Mutatkozzunk be és közöljük az összejövetel célját. Mindenképpen tájékoztassuk a résztvevőket arról, ha detektívtükör segítségével megfigyelik a csoportot, valamint próbáljuk meg elnyerni beleegyezésüket a magnó- vagy a videofelvételek készítéséhez. A bevezető részben utaljunk arra is, hogy a fókuszcsoportban nincsenek jó és rossz válaszok, hanem csakis egyéni vélemények, és senki ne érezze feszélyezve magát, amennyiben véleménye nem egyezik a többiekével.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következő lépés a résztvevők bemutatkozása. Ez azért fontos, mert segít megteremteni a kapcsolatot a csoporttagok között, és lehetővé teszi a megszólaló azonosítást.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harmadik részben feltárjuk a fogyasztók múltbeli tapasztalatait, problémáit és szükségleteit a vizsgált termékkel vagy szolgáltatással kapcsolatban.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negyedik részben ismertetjük a kutatás tárgyát képező terméket vagy szolgáltatást vagy a kutatandó új ötleteket. Hidat építünk a problémák és azok megoldása között. A téma technikai jellegétől és az esetleg közbeiktatandó egyéb szükséges tevékenységektől függően a beszélgetésnek ez lehet a leghosszabb része.</w:t>
      </w:r>
    </w:p>
    <w:p w:rsidR="007348B3" w:rsidRPr="00BB70D2" w:rsidRDefault="007348B3" w:rsidP="00BB70D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A fókuszcsoportot zárjuk összefoglaló résszel! Mindig fordítsunk 5–10 percet arra, hogy kérjünk minden egyes résztvevőtől végső észrevételt vagy javaslatot. E szakasz elején mondjuk azt, hogy szükségünk van a segítségükre a csoportmunka rövid összefoglalójának megírásához, és hogy csak a legfontosabb pontokat említsék.</w:t>
      </w:r>
    </w:p>
    <w:p w:rsidR="007348B3" w:rsidRPr="00BB70D2" w:rsidRDefault="007348B3" w:rsidP="00BB7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70D2">
        <w:rPr>
          <w:rFonts w:ascii="Times New Roman" w:hAnsi="Times New Roman"/>
          <w:sz w:val="24"/>
          <w:szCs w:val="24"/>
          <w:lang w:eastAsia="hu-HU"/>
        </w:rPr>
        <w:t>Tartsuk szem előtt, hogy az interjúvázlat nem annyira szerkesztett eszköz, mint a kérdőív, hanem csupán a foglalkozás tervezett lefolyásának vázlata. Hagyjunk tehát teret némi menet közbeni eltérésnek. Ha a tagok nem nyitottak és nem beszédesek, akkor a csoportvezetőnek kell segítenie, hogy minél több információhoz jussunk.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F935CA">
        <w:rPr>
          <w:rFonts w:ascii="Times New Roman" w:hAnsi="Times New Roman"/>
          <w:b/>
          <w:bCs/>
          <w:sz w:val="27"/>
          <w:szCs w:val="27"/>
          <w:lang w:eastAsia="hu-HU"/>
        </w:rPr>
        <w:t>A kérdések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Az interjú sikere nagyban függ a feltett kérdések minőségétől. Értékes választ csak jó kérdésre kaphatunk, jó kérdést pedig akkor tudunk feltenni, ha előre kigondoljuk, megtervezzük azokat. A fókuszcsoport általában 10–12 kérdésből áll. Ha ezeket a kérdéseket egy egyéni mélyinterjú során tesszük fel, a válaszoló néhány perc alatt elmond mindent, amit a témáról tud. Ám, ha ugyanezeket a kérdéseket csoportban tesszük fel, a beszélgetés eltarthat pár óráig is. A résztvevők válaszai új ötleteket, összefüggéseket világítanak meg, amire a többiek reagálnak.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kérdések összeállításakor vegyük figyelembe: a kérdéseket úgy kell összeállítanunk, hogy az általánostól haladjunk a specifikusak felé, illetve a legfontosabb kérdéseket a beszélgetés csúcspontján tegyük fel.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>A kérdések típusai.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A fókuszcsoport során több, különböző típusú kérdés hangzik el, ezek mindegyike más-más célt szolgál.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nyitó kérdés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olyan körkérdés, amelyre mindenki válaszol az interjú elején. Azt segíti, hogy azonosítsuk a résztvevők közös jellemzőit. Konkrét tényekre kérdezünk rá, nem pedig véleményt kérünk, ezért a kérdésre rövid, gyors válaszokat várunk, pl.: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Kérem, mutatkozzanak be, és mondjanak pár szót a hobbijukról!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bevezető kérdések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feladata, hogy bemutassák a beszélgetés központi témáját, lehetőséget adjanak a résztvevőknek, hogy a témával kapcsolatos múltbeli tapasztalataikat megosszák a csoporttal. Ezek a kérdések a kutatás szempontjából nem nagyon fontosak, inkább arra jók, hogy elindítsák a beszélgetést, és csoportkohéziót teremtsenek. Pl.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Melyek a tinédzserek körében felmerülő legkomolyabb problémák?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átvezető kérdések</w:t>
      </w: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a beszélgetést a kulcskérdések felé terelik, és segítenek a résztvevőknek, hogy szélesebb körben lássák a témát. Logikai kapcsolatot teremtenek a bevezető és a kulcskérdések között. Ezekre a kérdésekre válaszolva a résztvevők megismerik egymás nézőpontjait. Pl.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Többféle problémát említettek. Most gondoljunk az alkohol- és drogfogyasztásra, hogyan függnek ezek össze a többi problémával?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kulcskérdések 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irányítják a kutatást. Rendszerint 2–5 kérdés tartozik ebbe a kategóriába. A vázlatkészítésnél ezeket fogalmazzuk meg elsőként, és ezekre kell legjobban összpontosítanunk az elemzés során. Pl.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Beszéljünk a körülményekről, amelyek miatt a fiatalok az alkoholhoz fordulnak! Mikor és milyen körülmények között fordul ez elő a leggyakrabban?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</w:t>
      </w: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befejező kérdések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lezárják a beszélgetést; a csoporttagok lehetőséget kapnak, hogy visszautaljanak korábbi hozzászólásokra. A befejező kérdésnek három típusa van.</w:t>
      </w:r>
    </w:p>
    <w:p w:rsidR="007348B3" w:rsidRPr="00F935CA" w:rsidRDefault="007348B3" w:rsidP="00F935C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„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mindent összevéve” kérdés</w:t>
      </w: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935CA">
        <w:rPr>
          <w:rFonts w:ascii="Times New Roman" w:hAnsi="Times New Roman"/>
          <w:sz w:val="24"/>
          <w:szCs w:val="24"/>
          <w:lang w:eastAsia="hu-HU"/>
        </w:rPr>
        <w:t>akkor hangzik el, amikor megkérjük a résztvevőket, hogy fogalmazzák meg legfontosabb véleményüket. Vegyék figyelembe az elhangzottakat, és állapítsák meg, melyek a legfontosabb jellemzők, a legszükségesebb teendők.</w:t>
      </w:r>
    </w:p>
    <w:p w:rsidR="007348B3" w:rsidRPr="00F935CA" w:rsidRDefault="007348B3" w:rsidP="00F935C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összegző kérdés</w:t>
      </w: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935CA">
        <w:rPr>
          <w:rFonts w:ascii="Times New Roman" w:hAnsi="Times New Roman"/>
          <w:sz w:val="24"/>
          <w:szCs w:val="24"/>
          <w:lang w:eastAsia="hu-HU"/>
        </w:rPr>
        <w:t>azután hangzik el, hogy a moderátor vagy az asszisztense röviden összefoglalta az elhangzottakat. A rövid szóbeli összefoglaló után megkérdezik a résztvevőket, hogy az megfelelő volt-e, van-e valami kiegészítenivalójuk.</w:t>
      </w:r>
    </w:p>
    <w:p w:rsidR="007348B3" w:rsidRPr="00F935CA" w:rsidRDefault="007348B3" w:rsidP="00F935C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záró kérdés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az összegző kérdést követi. A moderátor rövid áttekintést ad a kutatás céljáról, majd felteszi a záró kérdést: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Kimaradt-e valami fontos az általa elmondottakból?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Ennek a kérdéstípusnak kiemelkedő jelentősége van az első fókuszcsoportban, mivel ennek segítségével megbizonyosodhatunk arról, hogy a kérdések sorrendje logikus és teljes volt-e.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Mindig hagyjunk elegendő időt a befejező kérdésekre is!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Jó kérdéseket feltenni nem könnyű, előrelátást, kocentrálást, háttértudást igényel. Néhány jó tanács, amelyekre ügyeljünk a kérdések megszerkesztésekor: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kérdések legyenek egyértelműek! (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Hol vásárol naponta? A meghatározott termék melyik márkáját/márkáit vásárolja? </w:t>
      </w:r>
      <w:r w:rsidRPr="00F935CA">
        <w:rPr>
          <w:rFonts w:ascii="Times New Roman" w:hAnsi="Times New Roman"/>
          <w:sz w:val="24"/>
          <w:szCs w:val="24"/>
          <w:lang w:eastAsia="hu-HU"/>
        </w:rPr>
        <w:t>stb.)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Tegyünk fel nyitott kérdéseket! (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Melyik tulajdonságát tartja legfontosabbnak a bemutatott terméknek?, Miért azt a csomagolást választotta?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stb.)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Kerüljük az eldöntendő kérdéseket! (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Ha olcsóbb lenne, akkor vásárolna belőle?, Kevésbé élénk csomagolással is hasonló lenne az érdeklődés a termék iránt? </w:t>
      </w:r>
      <w:r w:rsidRPr="00F935CA">
        <w:rPr>
          <w:rFonts w:ascii="Times New Roman" w:hAnsi="Times New Roman"/>
          <w:sz w:val="24"/>
          <w:szCs w:val="24"/>
          <w:lang w:eastAsia="hu-HU"/>
        </w:rPr>
        <w:t>stb.)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kérdésekkel ne adjunk végszavakat! (Hogyan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látja a termék marketingjét a reklámban? </w:t>
      </w:r>
      <w:r w:rsidRPr="00F935CA">
        <w:rPr>
          <w:rFonts w:ascii="Times New Roman" w:hAnsi="Times New Roman"/>
          <w:sz w:val="24"/>
          <w:szCs w:val="24"/>
          <w:lang w:eastAsia="hu-HU"/>
        </w:rPr>
        <w:t>stb.)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Használjuk a mondatkiegészítési technikát! (Amikor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kiderült, hogy magas a koleszterinszintem, úgy éreztem, azt gondoltam .............. Kérem, fejezzék be a mondatot!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stb.)!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Néhány különleges módszer, amelyet a témától, a résztvevőktől függően alkalmazhatunk a fókuszcsoportban: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Szimulált depriváció (szimulált megvonás). </w:t>
      </w:r>
      <w:r w:rsidRPr="00F935CA">
        <w:rPr>
          <w:rFonts w:ascii="Times New Roman" w:hAnsi="Times New Roman"/>
          <w:sz w:val="24"/>
          <w:szCs w:val="24"/>
          <w:lang w:eastAsia="hu-HU"/>
        </w:rPr>
        <w:t>Kérjük fel a résztvevőket, hogy a megbeszélés ösztönzésére és prioritásaik megismerése érdekében mondjanak le valamiről. Ez azt is jelzi, mennyire függnek a résztvevők bizonyos termékektől, szolgáltatásoktól vagy személyektől.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Ötletroham (brainstorming). </w:t>
      </w:r>
      <w:r w:rsidRPr="00F935CA">
        <w:rPr>
          <w:rFonts w:ascii="Times New Roman" w:hAnsi="Times New Roman"/>
          <w:sz w:val="24"/>
          <w:szCs w:val="24"/>
          <w:lang w:eastAsia="hu-HU"/>
        </w:rPr>
        <w:t>Adjunk a résztvevőknek meghatározott időt (5–10 perc), és kérjük meg őket, hogy ennyi idő alatt fogalmazzák meg a lehető legnagyobb számú ötletet és javaslatot, bármilyen sületlenségnek hangzik is némelyik. Ne engedjük bírálni az elhangzottakat! Mindent írjunk fel egy táblára, hogy mindenki jól láthassa.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Kártyaválogatás. </w:t>
      </w:r>
      <w:r w:rsidRPr="00F935CA">
        <w:rPr>
          <w:rFonts w:ascii="Times New Roman" w:hAnsi="Times New Roman"/>
          <w:sz w:val="24"/>
          <w:szCs w:val="24"/>
          <w:lang w:eastAsia="hu-HU"/>
        </w:rPr>
        <w:t>Kategóriák szerint szortíroztassuk a kártyákat a résztvevőkkel, pl. az ún. Q-rendezés (vagy Q-szortírozás) elvei szerint. A Q-rendezés során a személyek kártyákra nyomtatott állítások halmazát válogatják szét csoportokba. A sor egyik végén lévő csoportba egyetlen állítás sorolható, amit a személy leginkább jellemzőnek tart önmagára vonatkozóan; a sor másik végén lévő csoportba pedig az az egyetlen állítás kerül, melyet személy a legkevésbé tart önmagára jellemzőnek. A többi csoport fokozatokat képvisel a két szélső pont között.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Transzformációs technikák. </w:t>
      </w:r>
      <w:r w:rsidRPr="00F935CA">
        <w:rPr>
          <w:rFonts w:ascii="Times New Roman" w:hAnsi="Times New Roman"/>
          <w:sz w:val="24"/>
          <w:szCs w:val="24"/>
          <w:lang w:eastAsia="hu-HU"/>
        </w:rPr>
        <w:t>Az „ideális termék” technikájában megkérjük a fogyasztókat, hogy képzeletükben változtassák meg a terméket olyan módon, hogy az még jobban vagy a lehető legjobban feleljen meg igényeiknek.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 minőség másik irányában is el lehet menni, amikor az adott terméket a fantázia segítségével fokozatosan mind rosszabbá és rosszabbá tesszük. A „fokozatos termékrontás” technikában a termék vagy éppen egy szolgáltatás minőségnek lépcsőzetes, fantáziabéli változtatására kérjük a csoport resztvevőit. A termék megváltoztatott jellemzőit különböző minőségszinteken fogalmazhatjuk meg: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Milyen lenne a termék, ha valamivel rosszabb lenne? Milyen lenne a termék vagy szolgáltatás, amikor habozna, elbizonytalanodna, hogy használja-e vagy sem? Milyen lenne a termék, ha már semmiképpen nem venné meg, mert ebben a formájában messzemenően nem elégítené ki fogyasztói igényeit?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Szerepjáték. </w:t>
      </w:r>
      <w:r w:rsidRPr="00F935CA">
        <w:rPr>
          <w:rFonts w:ascii="Times New Roman" w:hAnsi="Times New Roman"/>
          <w:sz w:val="24"/>
          <w:szCs w:val="24"/>
          <w:lang w:eastAsia="hu-HU"/>
        </w:rPr>
        <w:t>Különböző szerepeket játszassunk el a résztvevőkkel, hogy érthető legyen a maguk és mások gondolkodása, hozzáállása, tapasztalata és preferenciája. Heterogén csoportokban ez kitűnő tevékenység. Gyakran hasznos, ha egyes résztvevőkkel az ellenkező szerepet játszatjuk el pl. férjek utánozzák a feleségüket.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résztvevők toborzása. </w:t>
      </w:r>
      <w:r w:rsidRPr="00F935CA">
        <w:rPr>
          <w:rFonts w:ascii="Times New Roman" w:hAnsi="Times New Roman"/>
          <w:sz w:val="24"/>
          <w:szCs w:val="24"/>
          <w:lang w:eastAsia="hu-HU"/>
        </w:rPr>
        <w:t>A fókuszcsoportos interjúk elemei közül a toborzás az, amelynek gyakran lebecsülik a jelentőségét. A gondos előkészítés, a jól képzett moderátor és a jó kérdések fontosak, de mindennek csökken a jelentősége, ha nem a megfelelő emberekből áll össze a csoport. A fókuszcsoportokat azért tartjuk meg, hogy sajátos információkat szerezzünk, ezért gondot kell fordítanunk rá, hogy megtaláljuk azokat az embereket, akik segítenek ezeknek az információknak a birtokába jutni. A kutatás célja határozza meg, hogy kiket hívjunk meg a fókuszcsoportba. Fontos, hogy a célcsoportot a lehető legpontosabban határozzuk meg.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toborzás első lépéseként kapcsolatba lépünk a résztvevőkkel; ez történhet telefonon, postai úton vagy személyesen. Ha a jelölt megfelel a kritériumoknak és vállalja a részvételt, akkor nagy vonalakban ismertessük vele a kutatás központi témáját és a csoportos interjú módszerét. Tájékoztassuk az interjú helyszínéről, időpontjáról és az ajándékról. Miután megegyeztünk a részvételről, küldjünk írásbeli megerősítést is, ehhez mellékelhetünk egy kis térképet az interjú helyszínéről. Az interjú előtt egy-két nappal telefonhívással emlékeztessük a résztvevőket az interjúra.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meghívás a fókuszcsoportba legyen személyre szóló, a résztvevők érezzék, hogy rájuk van szükség az interjúhoz. A meghívásokat végző személyzet legyen úgy kiképezve, hogy őszintén és udvariasan beszéljen az emberekkel, és válaszolni tudjon a felvetődő kérdésekre.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5" w:name="id534978"/>
      <w:bookmarkEnd w:id="5"/>
      <w:r w:rsidRPr="00F935CA">
        <w:rPr>
          <w:rFonts w:ascii="Times New Roman" w:hAnsi="Times New Roman"/>
          <w:b/>
          <w:bCs/>
          <w:sz w:val="27"/>
          <w:szCs w:val="27"/>
          <w:lang w:eastAsia="hu-HU"/>
        </w:rPr>
        <w:t>A fókuszcsoport interjújának levezetése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Az első néhány perc kritikus az interjú szempontjából. A moderátornak rövid idő alatt barátságos, de ugyanakkor komoly légkört kell teremtenie, ahol tisztázza a célt, amiért a csoporttagok jöttek. Ugyanakkor érezteti azt a bizalmas légkört is, amelyben mindenki szabadon elmondhatja a véleményét. Ez a pár perces bevezetés nagymértékben meghatározza az interjú sikerét.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moderátornak óvatosnak kell lennie, hogy hogyan reagál a válaszokra akár verbálisan, akár nonverbálisan. Ezek a reakciók (pl. fejrázás, bólintás) megszokottak, mindennaposak a társas érintkezésben, de önfegyelemre és gyakorlásra van szükség, hogy úrrá legyünk rajtuk a fókuszcsoportos interjú keretén belül.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Visszajelzés, buzdítás. </w:t>
      </w:r>
      <w:r w:rsidRPr="00F935CA">
        <w:rPr>
          <w:rFonts w:ascii="Times New Roman" w:hAnsi="Times New Roman"/>
          <w:sz w:val="24"/>
          <w:szCs w:val="24"/>
          <w:lang w:eastAsia="hu-HU"/>
        </w:rPr>
        <w:t>A semleges magatartás a követendő a fókuszcsoport vezetése közben, de ez nem jelenthet szótlan visszafogottságot. A csoporttagoknak is szükségük van visszajelzésre, buzdításra. Másrészt a moderátor nem azért van ott, hogy kritizáljon, moralizáljon, elutasítson. Jóval több információhoz jut, ha helyesel olyan módon, hogy elfogadja mindenki véleményét, az egyéni nézőpontot is.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Rövid válaszok. </w:t>
      </w:r>
      <w:r w:rsidRPr="00F935CA">
        <w:rPr>
          <w:rFonts w:ascii="Times New Roman" w:hAnsi="Times New Roman"/>
          <w:sz w:val="24"/>
          <w:szCs w:val="24"/>
          <w:lang w:eastAsia="hu-HU"/>
        </w:rPr>
        <w:t>Hétköznapi beszélgetéseinkben egyetértésünket, helyeslésünket rövid válaszokkal fejezzük ki (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Igen. Tényleg! Aha!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). Ezek közül néhány a fókuszcsoport keretén belül is elfogadható (pl.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Valóban! Igen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). Kerüljük viszont azokat a válaszokat, amelyek egyetértést, elfogadást fejeznek ki (pl.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Helyes. Kitűnő! Ez jó!</w:t>
      </w:r>
      <w:r w:rsidRPr="00F935CA">
        <w:rPr>
          <w:rFonts w:ascii="Times New Roman" w:hAnsi="Times New Roman"/>
          <w:sz w:val="24"/>
          <w:szCs w:val="24"/>
          <w:lang w:eastAsia="hu-HU"/>
        </w:rPr>
        <w:t>), mert ezek minősítik a hozzászólást.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Törekedjünk a semleges gesztusok és válaszok alkalmazására!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Befejezés. </w:t>
      </w:r>
      <w:r w:rsidRPr="00F935CA">
        <w:rPr>
          <w:rFonts w:ascii="Times New Roman" w:hAnsi="Times New Roman"/>
          <w:sz w:val="24"/>
          <w:szCs w:val="24"/>
          <w:lang w:eastAsia="hu-HU"/>
        </w:rPr>
        <w:t>A moderátor többféleképpen zárhatja le a beszélgetést. A legáltalánosabb, hogy megköszöni a részvételt, átadja az ajándékot, és jó utat kíván hazafelé. Ennél lényegesen jobb megoldás, ha a moderátor vagy az asszisztense röviden összefoglalja a beszélgetés főbb pontjait, és megkérdezi a résztvevőket, hogy van-e hozzáfűznivalójuk. Ez az összegzés sokat segít az elemzés során.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 fókuszcsoport vezetésekor előfordulhat, hogy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a csoport nem akar beszélni.</w:t>
      </w: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935CA">
        <w:rPr>
          <w:rFonts w:ascii="Times New Roman" w:hAnsi="Times New Roman"/>
          <w:sz w:val="24"/>
          <w:szCs w:val="24"/>
          <w:lang w:eastAsia="hu-HU"/>
        </w:rPr>
        <w:t>Ilyenkor szólítsunk meg minden egyes résztvevőt, módosítsuk a kérdéseket, hogy felkeltsük a csoport érdeklődését!</w:t>
      </w: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Ennek ellenkezője sem ritka, hogy a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 xml:space="preserve">csoport annyira belemelegedett a társalgásba, hogy el sem akar menni. </w:t>
      </w:r>
      <w:r w:rsidRPr="00F935CA">
        <w:rPr>
          <w:rFonts w:ascii="Times New Roman" w:hAnsi="Times New Roman"/>
          <w:sz w:val="24"/>
          <w:szCs w:val="24"/>
          <w:lang w:eastAsia="hu-HU"/>
        </w:rPr>
        <w:t>Ebben az esetben – ha van rá idő – érdemes meghallgatni a beszélgetést, és utánajárni annak, hogy mi az a momentum itt a csoportban, amely ennyire felkeltette a résztvevők érdeklődését, ilyen mértékben aktivizálta őket. Az így feltárt mozzanatok kapcsolatban lehetnek a szóban forgó termékkel vagy szolgáltatással.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beszélgetés rögzítése. </w:t>
      </w:r>
      <w:r w:rsidRPr="00F935CA">
        <w:rPr>
          <w:rFonts w:ascii="Times New Roman" w:hAnsi="Times New Roman"/>
          <w:sz w:val="24"/>
          <w:szCs w:val="24"/>
          <w:lang w:eastAsia="hu-HU"/>
        </w:rPr>
        <w:t>A fókuszcsoportos interjúkat rendszerint többféle módon rögzíthetjük: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videofelvétellel,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magnófelvétel,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moderátor segítőjének (asszisztensének) jegyzetei által.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Az interjú elején tájékoztassuk a résztvevőket a felvételről, és kérjük meg őket, hogy lehetőleg egyszerre csak egy ember beszéljen, mert minden hozzászólás fontos, és szeretnénk mindent tisztán rögzíteni azokat.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fókuszcsoport befejezésekor ellenőrizzük, hogy a magnófelvétel végig jó minőségű volt-e. Amint lehet, készítsünk rövid írásbeli összefoglalót.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6" w:name="id535058"/>
      <w:bookmarkEnd w:id="6"/>
      <w:r w:rsidRPr="00F935CA">
        <w:rPr>
          <w:rFonts w:ascii="Times New Roman" w:hAnsi="Times New Roman"/>
          <w:b/>
          <w:bCs/>
          <w:sz w:val="27"/>
          <w:szCs w:val="27"/>
          <w:lang w:eastAsia="hu-HU"/>
        </w:rPr>
        <w:t>Az adatok elemzése és értelmezése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Az elemzés azzal kezdődik, hogy önmagunknak felidézzük a kutatás célját. A fókuszcsoportok elemzése összetett feladat, a komplexitás több szinten jelentkezik. Mivel nyitott kérdéseket teszünk fel, a résztvevők maguk határozzák meg a válaszadás módját, és arra is van lehetőség, hogy a többiek meghallgatása után megváltoztassák a véleményüket. Amikor elhangzik egy kérdés, a résztvevők különböző szavakkal válaszolnak, mégis lehet, hogy ugyanazt gondolják. Az elemzőnek össze kell hasonlítani a szavakat, hogy azonosak-e, hasonlóak-e, kapcsolatban állnak-e egymással vagy nem. Meg kell vizsgálni a szövegkörnyezetet, a hangsúlyt és a hangerősséget, illetve a hozzászólás következetességét. A kutatónak tehát több dimenziót kell figyelembe venni a válaszok összehasonlításakor.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Az elemzés alapelvei. 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Az elemzés legyen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szisztematikus.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A szisztematikus elemzés előre meghatározott, egymást követő lépések sorozata. Az elemzés komplex feladat, és ki van téve az emberi gyarlóságnak. A módszeres eljárás emlékezteti a kutatót a következő lépésre, és egyúttal jelzi a megbízónak, hogy a kutató alapos munkát végzett.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Az elemzés legyen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ellenőrizhető, igazolható.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Ha az elemzést egy másik kutató is elvégzi, ugyanarra a következtetésre kell jutnia. Az emberek hajlamosak szelektíven csak azokat a véleményeket hallani, amelyek egy adott nézőpontot erősítenek meg, illetve hajlamosak figyelmen kívül hagyni azokat az információkat, amelyek disszonanciát okoznak. A kutatóknak állandóan résen kell lenniük, hogy elkerüljék a szelektív észlelés csapdáját.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Az elemzés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időigényes.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A fókuszcsoportok elemzése korábban kezdődik és tovább tart, mint a kvantitatív kutatások elemzése. A kvantitatív elemzéskor az összes adatot összegyűjtik, majd számítógép segítségével feldolgozzák. A kvalitatív elemzés már az első fókuszcsoporttal elkezdődik, itt az adatgyűjtés és az adatfeldolgozás szimultán tevékenység.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késlekedés veszélyezteti az elemzést. Ahogy több fókuszcsoportot vezetünk, az aktuális csoport emlékei összekeverednek a korábbiakkal, és így fontos információkat veszíthetünk el. Ezért érdemes odafigyelni a következőkre: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Pontosan megtervezett és megszerkesztett (jegyzet formájában szem előtt tartott) vezérfonalat (ún. „guide”-ot) készítsünk. Ez foglalja magában a félig strukturált kérdéseket, a tervezett feladatokat, azokat a technikákat, amelyeket alkalmazni kívánunk.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Gondosan tervezzük meg a fókuszcsoportok ütemtervét, kevés csoportot vezessünk egy nap, és a csoportok közötti idő is megfelelő legyen! Az interjú hosszúsága és a moderátor képességei határozzák meg, hogy mennyi csoportot tartsunk egy nap. Általában a kettő az elfogadott.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Az asszisztens feladata, hogy szorgalmasan jegyzeteljen, minden figyelmét fordítsa a beszélgetésre és az egyéb tényezőkre, amelyek plusz információt hordozhatnak.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Rögtön az interjú után a moderátor és az asszisztense tartson rövid értékelést, amit rögzítsenek is.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visszacsatolás segíti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az elemzést. Visszacsatolást kaphatunk a csoport tagjaitól, kollégáktól, szakértőktől, akik nem voltak jelen a csoportban, és a döntéshozóktól. Ezek közül legfontosabbak a csoporttagok visszajelzései, amelyeket az interjú végén közölnek.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 xml:space="preserve">Az elemzés </w:t>
      </w: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összehasonlítási folyamat.</w:t>
      </w:r>
      <w:r w:rsidRPr="00F935CA">
        <w:rPr>
          <w:rFonts w:ascii="Times New Roman" w:hAnsi="Times New Roman"/>
          <w:sz w:val="24"/>
          <w:szCs w:val="24"/>
          <w:lang w:eastAsia="hu-HU"/>
        </w:rPr>
        <w:t xml:space="preserve"> A kutatók a csoporton belüli és a csoportok közötti információkat hasonlítják össze, ezért soha nem elég egy csoportot tartani, mert nem lenne lehetőség az összehasonlításra.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i/>
          <w:iCs/>
          <w:sz w:val="24"/>
          <w:szCs w:val="24"/>
          <w:lang w:eastAsia="hu-HU"/>
        </w:rPr>
        <w:t>Az elemzés történhet: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Az átirat alapján. Ez a legszigorúbb és legidőigényesebb mód. Az elemző szóról szóra leírja a magnófelvételen elhangzottakat, és ez alapján meg az asszisztens jegyzetei alapján végzi az elemzést.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magnófelvétel alapján. Az elemző figyelmesen meghallgatja a magnófelvételt, és rövidített átiratot készít, amelyet kiegészít az asszisztens összefoglalójával.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jegyzetek alapján. Az elemző az asszisztens jegyzeteire, a fókuszcsoport végén elhangzott összefoglalóra és a csoport után tartott megbeszélésre hagyatkozik. Az interjút rögzítették, de a felvételt csak arra használják, hogy a megállapításokat idézetekkel támasszák alá. Az elemzés elsődleges dokumentumai a jegyzetek, de ha alaposabb elemzésre van szükség, a felvétel átirata utólag elkészíthető emlékezetből. Az elemzés a moderátor memóriáján alapszik. Ilyenkor a moderátor rögtön az egyes fókuszcsoportok után szóbeli beszámolót tart a megbízónak. Ezt általában akkor alkalmazzák, ha a megbízók a detektívtükör mögül végignézték az interjút.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fókuszcsoport-elemzés egyedülálló a maga nemében, mivel többféle kvalitatív elemzési stratégiát alkalmaz. Adatokat gyűjtünk megfigyelés, beszélgetés és egyéb eszközök útján (regisztrációs nyomtatványok, szűrőkérdőívek, demográfiai jellemzők). A fókuszcsoportos interjút nem elemezhetjük úgy, mint az egyéni interjút, figyelembe kell vennünk a társas interakciókat is. A csoporttagok befolyásolják egymást, a vélemények változnak, új szempontok merülnek fel. A résztvevők tanulnak egymástól, és ezek az új dolgok alakítják az attitűdjüket, véleményüket. A beszélgetés fokozatosan bontakozik ki a korábbi hozzászólásokra és nézőpontokra épülve. Ki kit befolyásolt, és mi lett ennek az eredménye?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Néhány ember arra törekszik, hogy befolyásolja a többieket, és a véleményüket a sajátjához közelítse. Néha a többiek kitartóak, néha megváltoztatják a véleményüket, máskor kerülni akarják a konfliktust, ezért inkább tartózkodnak. Ez teszi bonyolulttá az elemzést, mert ha azokra figyelünk, akik befolyásolni akarnak másokat, és nem vesszük észre a többi véleményt, az eredmény nem lesz tökéletes.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fókuszcsoportból nyert kvalitatív adatok, sokszor bonyolult, köznapi „ráérzéssel” nehezen kivehető motivációk, jelentésbéli mintázatok módosulásainak és a sok szálon zajló befolyásoknak az átlátására és megértésére a tartalomelemzés kínál érvényes választ.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7" w:name="id535129"/>
      <w:bookmarkEnd w:id="7"/>
      <w:r w:rsidRPr="00F935CA">
        <w:rPr>
          <w:rFonts w:ascii="Times New Roman" w:hAnsi="Times New Roman"/>
          <w:b/>
          <w:bCs/>
          <w:sz w:val="27"/>
          <w:szCs w:val="27"/>
          <w:lang w:eastAsia="hu-HU"/>
        </w:rPr>
        <w:t>A beszámoló megírása</w:t>
      </w:r>
    </w:p>
    <w:p w:rsidR="007348B3" w:rsidRPr="00F935CA" w:rsidRDefault="007348B3" w:rsidP="00F935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 fókuszcsoportos kutatás során ez a leginkább elhanyagolt fázis. Ezért előfordulhat, hogy a kutatás eredménye nem kap nagy jelentőséget a továbbiakban, ha a kutatók nem fordítanak kellő figyelmet a beszámolóra, és nem tudják hatékonyan bemutatni az eredményeket. Krueger öt alapelvet ír le, amelyeket szem előtt kell tartani a beszámolók készítésénél:</w:t>
      </w:r>
    </w:p>
    <w:p w:rsidR="007348B3" w:rsidRPr="00F935CA" w:rsidRDefault="007348B3" w:rsidP="00F935C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Lényegre törő prezentálás (a bonyolult bevezetés kerülendő).</w:t>
      </w:r>
    </w:p>
    <w:p w:rsidR="007348B3" w:rsidRPr="00F935CA" w:rsidRDefault="007348B3" w:rsidP="00F935C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Rövid, tömör megfogalmazások.</w:t>
      </w:r>
    </w:p>
    <w:p w:rsidR="007348B3" w:rsidRPr="00F935CA" w:rsidRDefault="007348B3" w:rsidP="00F935C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Az új információk kiemelése, hangsúlyozása.</w:t>
      </w:r>
    </w:p>
    <w:p w:rsidR="007348B3" w:rsidRPr="00F935CA" w:rsidRDefault="007348B3" w:rsidP="00F935C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Szükségtelen az aprólékos módszertani ismertetés (hacsak nem kérnek rá).</w:t>
      </w:r>
    </w:p>
    <w:p w:rsidR="007348B3" w:rsidRPr="00F935CA" w:rsidRDefault="007348B3" w:rsidP="00F935C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35CA">
        <w:rPr>
          <w:rFonts w:ascii="Times New Roman" w:hAnsi="Times New Roman"/>
          <w:sz w:val="24"/>
          <w:szCs w:val="24"/>
          <w:lang w:eastAsia="hu-HU"/>
        </w:rPr>
        <w:t>Többféle módszer alkalmazása az eredmények bemutatására.</w:t>
      </w:r>
    </w:p>
    <w:p w:rsidR="007348B3" w:rsidRPr="00391EE4" w:rsidRDefault="007348B3">
      <w:pPr>
        <w:rPr>
          <w:b/>
          <w:sz w:val="28"/>
          <w:szCs w:val="28"/>
        </w:rPr>
      </w:pPr>
      <w:r w:rsidRPr="00391EE4">
        <w:rPr>
          <w:b/>
          <w:sz w:val="28"/>
          <w:szCs w:val="28"/>
        </w:rPr>
        <w:t>A terepmunka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 a cselekvés, beszéd, teljesítmény, viselkedés stb. közvetlen észlelésen alapuló adatgyűjtési módja.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1EE4">
        <w:rPr>
          <w:rFonts w:ascii="Times New Roman" w:hAnsi="Times New Roman"/>
          <w:sz w:val="24"/>
          <w:szCs w:val="24"/>
          <w:lang w:eastAsia="hu-HU"/>
        </w:rPr>
        <w:t>A mindennapokban is számos alkalommal élünk a megfigyelés módszerével, hiszen megfigyeljük, hogyan viselkednek a munkatársaink az új munkahelyünkön, a „gólyák” megfigyelik a nagyobb évfolyamtársaik viselkedését, vagy hogy milyen rendszer szerint eshetnek át a vizsgaidőszakon. A sportoló megfigyeli edzőjét és sporttársait, hogy hogyan kell az adott mozgássort kivitelezni, s az egyik csapat megfigyeli az ellenfél csapatának játékát.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Vajon milyen céllal, teszik ezt az emberek, mire jó a megfigyelés? A hétköznapi életben ugyanaz a célja, mint a tudományos kutatásban: adatokat gyűjteni, és azokat (a már meglévő hétköznapi vagy tudományos) ismeretek rendszerébe foglalni annak érdekében, hogy előre jelezhető legyen a sikeres jövőbeli cselekvés.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tudományos megfigyelés ugyancsak események, viselkedések, megnyilvánulások észlelését jelenti, de a spontán, köznapi megfigyeléssel szemben előre eltervezett, célirányos adatgyűjtési módszer. Az ilyen megfigyelés nem korlátozódik a tények puszta tanulmányozására, hanem tudatos osztályozási lépéssel folytatódik, ahol az információkat célirányosan fogalmakba rendezik. Ennek célja, hogy ok-okozati kapcsolatokat állapítsanak meg azért, hogy az elkövetkező események nagyobb biztonsággal legyenek előre jelezhetők, mint a mindennapok esetleges megfigyelései alapján.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rendszerezett (szisztematikus) megfigyelés a tények objektív feljegyzését feltételezi,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releváns információk kiemelésével és a jelentéktelen információk figyelmen kívül hagyásával.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megfigyelési módszerek különböző típusúak, a viszonylag kötetlentől a nagymértékben kötöttig. Céljuk minden esetben azonos: „kivonni” az emberi viselkedés bonyolult formáiból azokat az akciókat, amelyeknek jelentőségük lehet a kutatott téma szempontjából, rögzíteni azokat, majd egymásutániságukat, kölcsönhatásukat rendszerbe foglalni.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téma természete szerint a megfigyelés lehet strukturált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vagy, a cél pontos megjelölése mellett, strukturálatlan is. Raymond Gold 1969-ben írta le a megfigyelő lehetséges szerepeit (pozícióit). Ő négy megfigyelői pozícióról beszél, amelyet egy skálán helyezett el.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8" w:name="id535179"/>
      <w:bookmarkEnd w:id="8"/>
      <w:r w:rsidRPr="00391EE4">
        <w:rPr>
          <w:rFonts w:ascii="Times New Roman" w:hAnsi="Times New Roman"/>
          <w:b/>
          <w:bCs/>
          <w:sz w:val="24"/>
          <w:szCs w:val="24"/>
          <w:lang w:eastAsia="hu-HU"/>
        </w:rPr>
        <w:t>2. ábra - A megfigyelő lehetséges pozíciói</w:t>
      </w:r>
    </w:p>
    <w:p w:rsidR="007348B3" w:rsidRPr="00391EE4" w:rsidRDefault="007348B3" w:rsidP="00391E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348F">
        <w:rPr>
          <w:rFonts w:ascii="Times New Roman" w:hAnsi="Times New Roman"/>
          <w:noProof/>
          <w:sz w:val="24"/>
          <w:szCs w:val="24"/>
          <w:lang w:eastAsia="hu-HU"/>
        </w:rPr>
        <w:pict>
          <v:shape id="Kép 2" o:spid="_x0000_i1026" type="#_x0000_t75" alt="A megfigyelő lehetséges pozíciói" style="width:427.5pt;height:71.25pt;visibility:visible">
            <v:imagedata r:id="rId8" o:title=""/>
          </v:shape>
        </w:pic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 xml:space="preserve">egészen résztvevő </w:t>
      </w:r>
      <w:r w:rsidRPr="00391EE4">
        <w:rPr>
          <w:rFonts w:ascii="Times New Roman" w:hAnsi="Times New Roman"/>
          <w:sz w:val="24"/>
          <w:szCs w:val="24"/>
          <w:lang w:eastAsia="hu-HU"/>
        </w:rPr>
        <w:t>valódi része annak, amit vizsgál, vagy úgy tesz mintha az lenne. Ebben a folyamatban az emberek kizárólag résztvevőként azonosítják őt. Amit vizsgál, azt spontánul teszi, a „saját bőrén” tapasztalja a jelenséget, a társas helyzetet, hiszen részese annak. Csak azután készít feljegyzéseket mindenről, amire emlékszik, miután már kilépett a helyzetből (pl. otthon). Veszélye ennek a helyzetnek, hogy a megfigyelés tárgyilagos kutatói szemhatára lesüllyed a mindennapi közhelyek, szokások, előítéletek szintjére, mert a teljes részvétel „beszippantja” a kutatót a csoport meggyőződéseibe, értékrendszerébe, mintegy megfeledkezve kutató/megfigyelő mivoltáról.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résztvevőként megfigyelő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a terepkutatások egyik jellegzetes szereplője. Ez az a fajta terepkutatás. A piackutatásban is mind növekvő mértékben használják, pl. szolgáltatások, idegenforgalom, munkaerő-közvetítés marketingjében. Ebben a szerepében a kutató teljes mértékben részt vesz a cselekvésben, de közben nem rejti véka alá, hogy kutatást végez. Ennek a formának is megvannak a veszélyei: elvonhatja a vele együtt természetes módon résztvevők figyelmét a vizsgált cselekvéstől, vagy túlságosan bevonódik, és azonosul a többiek érdekei</w:t>
      </w:r>
      <w:r>
        <w:rPr>
          <w:rFonts w:ascii="Times New Roman" w:hAnsi="Times New Roman"/>
          <w:sz w:val="24"/>
          <w:szCs w:val="24"/>
          <w:lang w:eastAsia="hu-HU"/>
        </w:rPr>
        <w:t>vel, tárgyilagossága csorbulhat</w:t>
      </w:r>
      <w:r w:rsidRPr="00391EE4">
        <w:rPr>
          <w:rFonts w:ascii="Times New Roman" w:hAnsi="Times New Roman"/>
          <w:sz w:val="24"/>
          <w:szCs w:val="24"/>
          <w:lang w:eastAsia="hu-HU"/>
        </w:rPr>
        <w:t>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megfigyelőként résztvevő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önmagát kutatóként határozza meg, miközben valamilyen mértékben benne van a történésekben, részese azoknak. Ám semmiként nem próbál úgy tenni, mintha ő egy igazi résztvevő lenne, inkább azt jelzi, hogy ő a kívülről jött ember, akit (piac)kutatóként érdekel az, ami történik, s ezért vesz részt benne ebben a korlátozott formában.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kizárólagos megfigyelő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(egészen megfigyelő) a teljesen részt vevővel ellentétes pólust képvisel: úgy figyel meg egy társas cselekvést, vásárlási döntést, emberek közötti tranzakciót, hogy egyáltalán nem válik részesévé. Az adatgyűjtésnek ez a módja a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strukturált megfigyelés</w:t>
      </w:r>
      <w:r w:rsidRPr="00391EE4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391EE4">
        <w:rPr>
          <w:rFonts w:ascii="Times New Roman" w:hAnsi="Times New Roman"/>
          <w:sz w:val="24"/>
          <w:szCs w:val="24"/>
          <w:lang w:eastAsia="hu-HU"/>
        </w:rPr>
        <w:t>formáját szokta ölteni.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különböző megfigyelési pozíciók két pólusán a megfigyeléstípusok két fajtáját helyezhetjük el: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részt vevő megfigyelés,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amelyikben a kutató egészen résztvevő vagy valamelyik köztes pozícióban foglalnak helyet, mint a résztvevőként megfigyelő és a megfigyelőként résztvevő,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strukturált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megfigyelés,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amikor a kutató legtöbbször kizárólagos megfigyelőként vagy ritkábban a megfigyelőként résztvevő pozíciójában van jelen. Sokszor szokták ezt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nem részt vevő megfigyelésnek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nevezni.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9" w:name="id535259"/>
      <w:bookmarkEnd w:id="9"/>
      <w:r w:rsidRPr="00391EE4">
        <w:rPr>
          <w:rFonts w:ascii="Times New Roman" w:hAnsi="Times New Roman"/>
          <w:b/>
          <w:bCs/>
          <w:sz w:val="24"/>
          <w:szCs w:val="24"/>
          <w:lang w:eastAsia="hu-HU"/>
        </w:rPr>
        <w:t>3. ábra - Különböző megfigyelési formák</w:t>
      </w:r>
    </w:p>
    <w:p w:rsidR="007348B3" w:rsidRPr="00391EE4" w:rsidRDefault="007348B3" w:rsidP="00391E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348F">
        <w:rPr>
          <w:rFonts w:ascii="Times New Roman" w:hAnsi="Times New Roman"/>
          <w:noProof/>
          <w:sz w:val="24"/>
          <w:szCs w:val="24"/>
          <w:lang w:eastAsia="hu-HU"/>
        </w:rPr>
        <w:pict>
          <v:shape id="Kép 3" o:spid="_x0000_i1027" type="#_x0000_t75" alt="Különböző megfigyelési formák" style="width:427.5pt;height:130.5pt;visibility:visible">
            <v:imagedata r:id="rId9" o:title=""/>
          </v:shape>
        </w:pic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Amint láttuk, a különböző megfigyelési formáknak aszerint, hogy a piackutató mennyire vesz részt, mennyire vonódik be a vizsgált jelenségbe, különféle előnyei és hátrányai vannak. Mindig fel kell vetni a kutatási szakasszal, a vizsgált marketingproblémával és a kutatás céljaival összhangban lévő „jó arány” kérdését.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Ezek a megfigyelési formák nem mereven elhatároltak, mert sokszor egyazon kutatáson belül is kapcsolódnak egymáshoz. A piackutatás első, tájékozódó és feltáró szakaszában érdemes részt vevő megfigyelést végezni, hogy saját bőrünkön tapasztaljuk a lehetséges hatásokat, az élmények hangulatát, és árnyaltabb benyomásokat szerezzünk. A vizsgálódás későbbi szakaszaiban lehet áttérni a megfigyelési és elemzési egységek alapján való strukturált megfigyelésre.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0" w:name="id535278"/>
      <w:bookmarkEnd w:id="10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A részt vevő megfigyelés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Ez a megfigyeléstípus kizárja a kívülálló megfigyelői pozíciót. Itt jóval többről van szó, mint csupán a megfigyelésről, a megfigyelési egységek nyomon követéséről, mert a kutató egyszerre kell, hogy a részese és az objektív megfigyelője legyen a vizsgált eseményeknek.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részt vevő megfigyelés olyan kutatás, amely a kutató és a megfigyelt személyek közötti intenzív társas kölcsönhatásos (interakciós) időszakot feltételez. Ezen idő alatt a kutató – bevonódása mértékében – a vizsgált populációval együtt végzi a közös tevékenységet. Megfigyeléseiről akkor készít feljegyzéseket, amikor a közösen végzett tevékenységből visszavonul.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 folyamatában gyűjtött adatoknak különböző forrásai lehetnek:</w:t>
      </w:r>
    </w:p>
    <w:p w:rsidR="007348B3" w:rsidRPr="00391EE4" w:rsidRDefault="007348B3" w:rsidP="00391EE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részt vevő megfigyelés tulajdonképpeni adatai: amit a kutató (szótlanul) megfigyel, miközben a célcsoporttal közös tevékenységet végzi, s észleli, hogy ki, hogyan, mikor, kivel és mit csinál;</w:t>
      </w:r>
    </w:p>
    <w:p w:rsidR="007348B3" w:rsidRPr="00391EE4" w:rsidRDefault="007348B3" w:rsidP="00391EE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terepkutatás közbeni személyes információcserék, amikor megkérdez valakit az őt érdeklő témáról, szóba áll, beszélget;</w:t>
      </w:r>
    </w:p>
    <w:p w:rsidR="007348B3" w:rsidRPr="00391EE4" w:rsidRDefault="007348B3" w:rsidP="00391EE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terepen megfigyelt emberi produktumok, azaz azok a tárgyi „alkotások”, amelyeket a megfigyelt személyek hoztak létre (pl. a vásárolt élelmiszer felhasználásának módja, az ebből készített ételek, a felhasznált alapanyagok kombinációja).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részt vevő megfigyelés lehet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fedett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vagy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nyílt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. A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 xml:space="preserve">fedett </w:t>
      </w:r>
      <w:r w:rsidRPr="00391EE4">
        <w:rPr>
          <w:rFonts w:ascii="Times New Roman" w:hAnsi="Times New Roman"/>
          <w:sz w:val="24"/>
          <w:szCs w:val="24"/>
          <w:lang w:eastAsia="hu-HU"/>
        </w:rPr>
        <w:t>részvétel a többiek előtt titkos: a kutató úgy válik a tanulmányozott csoport részévé, hogy nem fedi fel kilétét és megfigyelői minőségét, álcázza magát, és így olvad bele a csoportba, annak tevékenységébe. Ez természetesen etikai aggályokat vethet fel, ám vannak helyzetek, amikor védhető ez az álláspont. Elképzelhető, hogy pl. piackutatók, szolgáltatásmarketingként, a szociális-népjóléti kormányhivatal megbízásából fedett részt vevő megfigyeléssel tanulmányozzák a hajléktalanok igényeit, helyzetük javítása érdekében.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következő, sokszor nehéz feladat, a „belépés” abba a csoportba, amelynek vizsgálatát a kutató célul tűzte ki. Minél zártabb, bensőségesebb a vizsgálni kívánt csoport, annál problematikusabb a „körön belülre” kerülés.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1" w:name="id535328"/>
      <w:bookmarkEnd w:id="11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A strukturált megfigyelés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 sokszor nem élesen különálló típusa a strukturált megfigyelés. Ennek a módszernek a formalizáltsága jóval magasabb, s ezt a szerkezet előre rögzített jellege adja. A strukturált megfigyelésben szorosan követendő forgatókönyv szerint történik az észlelés, sokszor másodpercnyi pontossággal. Az ilyen észlelések objektivitásának növelése érdekében az észlelések rögzítésére gyakran használnak segédeszközöket: magnetofont, videokamerát, zártláncú tévét vagy számítógépes kép- és hangelemző szoftvereket.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piackutatásban a strukturált megfigyelést a részt vevő, feltáró jellegű megfigyelést követően szokták végezni. Ez utóbbi kevésbé strukturált terepkutatásból válik nyilvánvalóvá, hogy melyek azok a releváns megfigyelési egységek, amelyeket strukturáltabb kutatás megfigyelési egységeivé érdemes tenni. Ezeket kell a strukturált megfigyelés során, szorosan meghatározott lépéssorozat szerint észlelni, és regisztrálni.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 szoros szerkezetű megfigyelések a kutatási tervnek megfelelően nagyon különböző formákat ölthetnek attól függően, hogy a kutatási hipotézist (ami a strukturálatlan megfigyelés során körvonalazódik, fogalmazódik meg és válik mind pontosabbá) milyen módon ellenőrizzük. Az előzetes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hipotézisalkotást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a strukturált megfigyelésben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hipotézisvizsgálatnak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vetjük alá.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kutatás jellegéhez és a feltevések ellenőrzéséhez igazodó adatok rögzítésétől függően a strukturált megfigyelés több fajtáját különbözetjük meg.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2" w:name="id535351"/>
      <w:bookmarkEnd w:id="12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Időközönkénti regisztrálás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Az időközönkénti regisztrálás az egyes egyének folyamatos és közvetlen megfigyelését feltételezi, egy kisebb időszakaszokra osztott meghatározott időtartamra terjedően. Például tíz másodpercenként figyeljük meg valakinek a megnyilvánulását, egy percen át. Ez hat észlelési mozzanatot feltételez. Ha az észlelni kívánt jelenség a hat megfigyelési mozzanaton belül többször is jelentkezik, azt figyelmen kívül hagyjuk, nem jegyezzük fel, csak egyszer. Az első előfordulástól kezdjük, a következő tíz másodpercbeli előfordulását vagy „nemelőfordulását”, azaz a vizsgált jelenség hiányát is feljegyezzük. (Megjelenik-e a vizsgált jelenség? Igen vagy nem alapelv szerint.) Ebben a példában az észlelni kívánt megnyilvánulás több tíz másodpercen belüli megjelenése képezi az alapját annak, hogy azt mondjuk: ebben az időintervallumban jelen van az észlelt téma, míg az elő nem fordulása a jelenség hiányát jelzi. Az adatfeldolgozás százalékban történik, amivel azt fejezzük ki, hogy az alapul vett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időközök hány százalékában jelent meg</w:t>
      </w:r>
      <w:r w:rsidRPr="00391E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91EE4">
        <w:rPr>
          <w:rFonts w:ascii="Times New Roman" w:hAnsi="Times New Roman"/>
          <w:sz w:val="24"/>
          <w:szCs w:val="24"/>
          <w:lang w:eastAsia="hu-HU"/>
        </w:rPr>
        <w:t>az adott megnyilvánulás.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következőképpen ábrázolható ennek a logikája: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937"/>
        <w:gridCol w:w="1057"/>
        <w:gridCol w:w="1057"/>
        <w:gridCol w:w="1057"/>
        <w:gridCol w:w="1057"/>
        <w:gridCol w:w="1072"/>
      </w:tblGrid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Időköz másodpercekben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0–10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11–20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21–30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31–40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41–50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51–60 mp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Az időközök sorszáma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</w:tr>
    </w:tbl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Ebben az esetben egy percnyi időtartam alatt hat (10 másodpercnyi) időközben a vizsgált jelenség négyszer volt észlelhető. Tehát, az adott megnyilvánulás 66,66%-ban volt észlelhető. Természetesen ez elvi példa, soha nem figyelnek meg semmit a kutatásban egy percig (hat időközön keresztül), inkább több ezer megfigyelést szoktak elvégezni, ami ilyen típusú megfigyelés esetén ugyanennyi időközt jelent (pl. több ezerszer tíz másodperces időközök).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Ugyanez az eljárás, ha valamennyivel összetettebb strukturált kutatást tervezünk, pl. 2–3 megnyilvánulás észlelése, időköz-regisztrálással. Ennek a logikáját az alábbi megfigyelési űrlap mutatja.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megfigyelési egység megnevezése: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A) ………………………………………………………………………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B) ………………………………………………………………………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 teljes időtartama: …………………………………..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megfigyelési időköz tartama másodpercekben: ………………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Időköz másodpercekben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2"/>
        <w:gridCol w:w="937"/>
        <w:gridCol w:w="1057"/>
        <w:gridCol w:w="1057"/>
        <w:gridCol w:w="1057"/>
        <w:gridCol w:w="1057"/>
        <w:gridCol w:w="1072"/>
      </w:tblGrid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Megfigyelési egység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0–10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11–20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21–30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31–40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41–50 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51–60 mp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Az időközök sorszáma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</w:tr>
    </w:tbl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3" w:name="id541086"/>
      <w:bookmarkEnd w:id="13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A gyakorisági előfordulások megfigyelése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Ez a strukturált megfigyelés egyik legegyszerűbb formája. Ugyanúgy, mint az időköz-regisztrálás, ez is közvetlen észlelésen alapszik (vagy videofelvétel megfigyelésén). Az előfordulási gyakoriságot egy adott időszakaszon belül regisztráljuk, s ha más, hasonló megfigyeléseket végeztünk, az összehasonlítás érdekében a megnyilvánulások előfordulási gyakoriságát egységnyi időre vetítjük. Több mint egy megfigyelt jelenséget is vizsgálhatunk tehát, s mindegyik előfordulását rögzítjük. Például: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1"/>
        <w:gridCol w:w="2937"/>
        <w:gridCol w:w="2196"/>
        <w:gridCol w:w="1598"/>
      </w:tblGrid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Az észlelt megnyilvánulás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A megfigyelés időtartama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Előfordulási gyakoriság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Előfordulás/óra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1,5 óra (16.00 órától 17.30 óráig)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5,33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 óra (8.00 órától 10.00 óráig)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6,5</w:t>
            </w:r>
          </w:p>
        </w:tc>
      </w:tr>
    </w:tbl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Mivel a gyakoriságok rögzítése igen egyszerű, éppen ezért összetettebb megfigyelési tervek is készíthetők. Változtatni lehet pl. ugyanannak a jelenségnek a körülményeit, és a különböző feltételek közötti előfordulásokat rögzítjük, hasonlítjuk össze és elemezzük. Vagy ha ugyanazon időtartamon belül egyszerre két jelenséget vizsgálunk, az elemi megnyilvánulási egységek (A külön, B) külön) megfigyelésén túl a kettő viszonyát (A + B) is regisztrálhatjuk, mint a következő megfigyelési terv mutatja: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9"/>
        <w:gridCol w:w="1138"/>
        <w:gridCol w:w="2253"/>
        <w:gridCol w:w="1874"/>
        <w:gridCol w:w="1598"/>
      </w:tblGrid>
      <w:tr w:rsidR="007348B3" w:rsidRPr="00F64950" w:rsidTr="00391E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Az észlelt megnyilvánulások és kapcsolatuk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A megfigyelés időtartama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Előfordulási gyakoriság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Előfordulás/óra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óra (10.00 órától 12.00 óráig)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9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óra (10.00 órától 12.00 óráig)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11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A) és B) egyidejűleg jelenik meg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A) megelőzi </w:t>
            </w:r>
          </w:p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B)-t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óra (10.00 órától 12.00 óráig)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A) követi </w:t>
            </w:r>
          </w:p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B)-t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óra (10.00 órától 12.00 óráig)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1,5</w:t>
            </w:r>
          </w:p>
        </w:tc>
      </w:tr>
    </w:tbl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Egy egyszerű előfordulási gyakoriság regisztrálásból kiindulva is kialakíthatunk több szempontú megfigyelési forgatókönyvet, amellyel komplex hipotézisvizsgálatot végezhetünk és összetett kutatási kérdésekre válaszolhatunk. Látható, hogy a táblázat utolsó sorában szereplő kapcsolatvizsgálatból kiindulva felmerülhet az ok-okozati viszony ellenőrzésének a kérdése: „A) oka B)-nek, B) oka A)-nak, vagy ahhoz, hogy A) bekövetkezzen, előbb B)-nek kell megjelennie?”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4" w:name="id541497"/>
      <w:bookmarkEnd w:id="14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Időtartam megfigyelése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Az időtartamra vonatkozó adatok rögzítése egy (vagy egyszerre több) cselekvés folyamatos és közvetlen megfigyelését jelenti. A rögzített információ az az időtartam lesz, amíg a megfigyelt cselekvés tart, így az adat mindig egy másodpercben vagy percben kifejezett adat lesz. Az ilyen típusú megfigyelésben feltüntetjük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 rögzítjük azt az időszakot, amíg a megfigyelés tartott, és azt, hogy a vizsgált jelenség minden egyes előfordulása mennyi ideig tartott: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11"/>
        <w:gridCol w:w="2463"/>
        <w:gridCol w:w="3231"/>
      </w:tblGrid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A megfigyelésre fordított idő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Az előfordulás sorszáma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A megfigyelés időtartama (perc)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6.00 órától – 12.00 óráig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24,5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13.30 órától – 17.00 óráig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14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33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</w:p>
        </w:tc>
      </w:tr>
    </w:tbl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Ugyanilyen módon figyelhető meg két vagy akár több történés, megnyilvánulás, cselekvés előfordulásának időtartama és egymáshoz viszonyított aránya.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5" w:name="id541724"/>
      <w:bookmarkEnd w:id="15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Mértékmegfigyelés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Ebben a megfigyeléstípusban az észlelni kívánt jelenség nagyságrendbeli, szintbeli, fokozati mértékét regisztráljuk. Ugyanide tartozik a megfigyelt történés erőteljességének, hevességének (intenzitásának) rögzítése. A hatékony és pontos észlelés érdekében szükséges a mérték előzetes és egyértelmű meghatározása. Így a mértékmegfigyelésnél a kialakított skála egyik végén a megnyilvánulás legalacsonyabb, míg a másikon a legmagasabb mértéke fog szerepelni.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mértékmegfigyelés leginkább akkor alkalmazható, ha a vizsgált jelenségnek sokféle megnyilvánulási formája lehetséges, és a kutatás szempontjából fontosak ezen megnyilvánulások különböző színtű, erősségű mértékei. Ha bolti eladókat figyelünk meg, hogy miként kezelik a vásárlói panaszokat, a panaszokra adott válaszaikat érdemes vizsgálni. A válaszok hangerőmértéke képezheti a megfigyelési skálát: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válasz hiánya.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Nagyon halk, alig érthető, „súgás”-jellegű válasz.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Halk, érthető válasz.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Erős hangerővel adott válasz.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Kiabált válasz.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mennyiségi mutatókon túl a válasz minősége is lehet a mértékmegfigyelés alapja: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Visszautasítja a panasz tudomásulvételét (nem válaszol).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Egyértelmű és visszafogott elutasítással vagy ellenségességgel válaszol.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Egyértelmű és nyílt elutasítással vagy ellenségességgel válaszol.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Kétértelmű választ ad: részben nyíltan elfogadóan, részben nyíltan elutasítóan válaszol.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Kétértelmű választ ad: nyíltan elutasítóan, rejtetten elfogadóan válaszol (koalizálódó válasz).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Kétértelmű választ ad: nyíltan elfogadóan, rejtetten elutasítóan válaszol (paszszív-agresszív válasz).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Elfogadóan válaszol a panasz jogosságát illetően.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Elfogadóan válaszol a panasz jogosságát illetően, és passzívan közreműködik a panasz orvoslásában (javaslatot tesz).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Elfogadóan válaszol a panasz jogosságát illetően, és tevékenyen közreműködik a panasz orvoslásában (pl. intézkedik).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mértékmegfigyelés több előkészítést és tréninget igényel, mert a piackutatónak be kell gyakorolnia a mértékek pontos észlelését a zajló történések sűrűjében is.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6" w:name="id541771"/>
      <w:bookmarkEnd w:id="16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Szúrópróba megfigyelés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Ez olyan, strukturált szerkezetű észlelés, amelyben a kutató a célul kitűzött viselkedést, megnyilvánulást előre meghatározott időközönként figyeli meg. Az előbbi négy megfigyeléstípustól eltérően itt nem folyamatos, hanem időközönkénti észlelésről van szó. A szúrópróba megfigyelés erőteljesen redukálja a megfigyelési egység változatos megjelenésformáit az egyszerű jelenlétre vagy nem jelenlétre az adott időpillanatban. Az előfordulási gyakoriságot százalékosan számolják ki (a 100% az összes megfigyelések – szúrópróbák – száma, mivel ideális esetben minden egyes szúrópróba alkalmával észlelhettük volna a vizsgált dolgot).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megfigyelés logikája az alábbiak szerint érzékeltethető: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3"/>
        <w:gridCol w:w="3103"/>
        <w:gridCol w:w="3304"/>
      </w:tblGrid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Szúrópróba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Jelen van a megfigyelt jelenség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Nincs jelen a megfigyelt jelenség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MS Gothic" w:eastAsia="MS Gothic" w:hAnsi="MS Gothic" w:cs="MS Gothic" w:hint="eastAsia"/>
                <w:sz w:val="24"/>
                <w:szCs w:val="24"/>
                <w:lang w:eastAsia="hu-HU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>–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Összes szúrópróba száma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előfordulások száma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elő nem fordulások száma = </w:t>
            </w:r>
          </w:p>
        </w:tc>
      </w:tr>
      <w:tr w:rsidR="007348B3" w:rsidRPr="00F64950" w:rsidTr="00391E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előfordulási %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48B3" w:rsidRPr="00391EE4" w:rsidRDefault="007348B3" w:rsidP="00391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1EE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elő nem fordulási % = </w:t>
            </w:r>
          </w:p>
        </w:tc>
      </w:tr>
    </w:tbl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7" w:name="id542005"/>
      <w:bookmarkEnd w:id="17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Interakciók megfigyelése</w:t>
      </w:r>
    </w:p>
    <w:p w:rsidR="007348B3" w:rsidRPr="00391EE4" w:rsidRDefault="007348B3" w:rsidP="003421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Az emberek közötti interakciók megfigyelésekor a kutató kategória-rendszert alkalmaz a társas viselkedés rögzítésére. 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Az adatgyűjtés megfigyelésen alapuló módszereinek két fő előnyük van:</w:t>
      </w:r>
    </w:p>
    <w:p w:rsidR="007348B3" w:rsidRPr="00391EE4" w:rsidRDefault="007348B3" w:rsidP="00391EE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gyakran alkalmazhatjuk anélkül, hogy zavarnánk magát a viselkedést,</w:t>
      </w:r>
    </w:p>
    <w:p w:rsidR="007348B3" w:rsidRPr="00391EE4" w:rsidRDefault="007348B3" w:rsidP="00391EE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még ha a vizsgálatba vont személyek tudják is, hogy a viselkedésüket figyelik, viselkedésük annyira lefoglalja őket, hogy végső soron kevesebb alkalmuk nyílik magatartásuk módosítására, mint ha pusztán kérdőívet töltenének ki.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 kérdőívben azt vizsgáljuk, hogy miként vélekedik arról, amit csinál, míg a megfigyelésben észleljük azt, amit csinál, és amiként csinálja.”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Léteznek mindazonáltal olyan viselkedésformák, amelyeket vagy nem lehet közvetlenül megfigyelni (mert a múltban történtek), vagy nehéz őket közvetlenül megfigyelni (mert szokásos életkörülmények között a magánéletben zajlanak). Továbbá a piackutatókat gyakran érdekli az emberek észlelése, érzése vagy értékelése bizonyos termékekről, szolgáltatásokról, s ezek egyike sem közvetlenül megfigyelhető. Ezért a kutatók gyakran alkalmaznak mélyinterjús vagy fókuszcsoportos módszereket.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bookmarkStart w:id="18" w:name="id542059"/>
      <w:bookmarkEnd w:id="18"/>
      <w:r w:rsidRPr="00391EE4">
        <w:rPr>
          <w:rFonts w:ascii="Times New Roman" w:hAnsi="Times New Roman"/>
          <w:b/>
          <w:bCs/>
          <w:sz w:val="27"/>
          <w:szCs w:val="27"/>
          <w:lang w:eastAsia="hu-HU"/>
        </w:rPr>
        <w:t>Elemzési egységek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Az elemzési egységek azok az egységek (személyek vagy dolgok), amelyeket hogy megkapjuk az összes ilyen egység leírását vagy megmagyarázhassuk a köztük lévő különbségeket és hasonlóságokat megfigyelünk és leírunk.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Széles a választéka azoknak a személyeknek, típusoknak, tárgyaknak, jelenségeknek, akcióknak akiket, illetve amiket a piackutatás során tanulmányozunk/tanulmányozhatunk.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Egyének. </w:t>
      </w:r>
      <w:r w:rsidRPr="00391EE4">
        <w:rPr>
          <w:rFonts w:ascii="Times New Roman" w:hAnsi="Times New Roman"/>
          <w:sz w:val="24"/>
          <w:szCs w:val="24"/>
          <w:lang w:eastAsia="hu-HU"/>
        </w:rPr>
        <w:t>A leggyakoribb megfigyelési egység a megfelelő típusba, kategóriába tartozó egyes ember. A megfelelő kategória ebben az esetben célcsoportba tartozást vagy éppen kontrasztív vizsgálatokban az oda nem tartozást jelenti.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Az elemzési egységek jellemzőkkel rendelkeznek, amelyek összefüggéseit éppen vizsgálni kívánjuk: anyagi helyzet, városlakó vagy falun élő, konzervatív vagy modern, viszonya a főnökeihez, egész vagy csonka családban nevelkedett stb. Megjegyzendő, hogy a különféle családba tartozás vagy a viszony a főnököz egyetlen jellemző, ettől még az elemzési egység semmiképpen sem a család, a főnök, hanem az egyén marad.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Csoportok. </w:t>
      </w:r>
      <w:r w:rsidRPr="00391EE4">
        <w:rPr>
          <w:rFonts w:ascii="Times New Roman" w:hAnsi="Times New Roman"/>
          <w:sz w:val="24"/>
          <w:szCs w:val="24"/>
          <w:lang w:eastAsia="hu-HU"/>
        </w:rPr>
        <w:t>Ha csoportok a piackutatás tárgya, a csoportot – alapértelmezésként – mint egészet vizsgáljuk, nem pedig az adott csoportba tartozó egyes embereket, s nem e csoporttagok jellemzőiből összegezzük a csoport jellemzőit. Vizsgálhatjuk pl. egyes csoportok beállítódását, akcióit olyan helyzetekben, amikor a csoport mint egész nyilvánul meg.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Ha a különböző klubok szórakozási és fogyasztási szokásait vizsgáljuk, mert összehasonlító megfigyeléseket szeretnénk végezni a klubok között, nem az egyes tagokat figyeljük meg, hanem a klub életének megny</w:t>
      </w:r>
      <w:r>
        <w:rPr>
          <w:rFonts w:ascii="Times New Roman" w:hAnsi="Times New Roman"/>
          <w:sz w:val="24"/>
          <w:szCs w:val="24"/>
          <w:lang w:eastAsia="hu-HU"/>
        </w:rPr>
        <w:t>ilvánulásait. Például, hogy men</w:t>
      </w:r>
      <w:r w:rsidRPr="00391EE4">
        <w:rPr>
          <w:rFonts w:ascii="Times New Roman" w:hAnsi="Times New Roman"/>
          <w:sz w:val="24"/>
          <w:szCs w:val="24"/>
          <w:lang w:eastAsia="hu-HU"/>
        </w:rPr>
        <w:t>nyit költenek és mire az egyes klubokban, milyen italokat ételeket fogyasztanak, milyen zenék vagy más művészi produkciók fordulnak elő az adott klubban (milyen gyakorisággal?), az autómárkák típusai, amelyek a klub előtt parkolnak stb.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Amikor társadalmi csoportok a megfigyelésünk egységei, származtathatjuk a csoport jellemzőit a tagok jellemzőiből is. A családokat jellemezhetjük a családfenntartó(k) keresete, iskolai végzettsége, foglalkozása alapján. Leíró vizsgálatokban találkozhatunk olyan kérdésfeltevéssel, hogy az összes vizsgált családok hány százalékában vannak egyetemi végzettségűek. Magyarázó vizsgálatokban inkább arra a kérdésre kereshetnek választ, hogy olyan családokban, ahol a családfenntartó(k) egyetemet végeztek, kevesebb vagy több-e a gyermek?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Mindkét típusú vizsgálatban a család volt a megfigyelési/elemzési egység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(megfigyelési/elemzési egység = a csoport).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 xml:space="preserve">Ha viszont azt kérdeznénk, hogy több vagy kevesebb gyermekük van-e az egyetemet végzetteknek az egyetemi végzettséggel nem rendelkezőkhöz képest, akkor az egyes családfenntartók lennének az elemzés egységei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(megfigyelési/elemzési egység = az egyén).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Szervezetek. </w:t>
      </w:r>
      <w:r w:rsidRPr="00391EE4">
        <w:rPr>
          <w:rFonts w:ascii="Times New Roman" w:hAnsi="Times New Roman"/>
          <w:sz w:val="24"/>
          <w:szCs w:val="24"/>
          <w:lang w:eastAsia="hu-HU"/>
        </w:rPr>
        <w:t xml:space="preserve">A gazdasági vagy társadalmi szervezet is lehet megfigyelési/elemzési egység. Ilyenkor a szervezetet mint egészet vizsgáljuk, s azokat a jellemzőket, amelyek érdeklődésünk tárgyai és amelyek adatokként kezelünk a későbbi feldolgozás során, a szervezet összműködésére vonatkoztatjuk. Például a szervezet nettó nyeresége, a foglalkoztatottak száma és átlagjövedelme, a nyelveket beszélők aránya. Ha felsőoktatási intézmények a megfigyelésünk egységei, lehet az egyes intézmények összműködésére vonatkozó jellemző a hallgatók elégedettsége, elhelyezkedési százaléka vagy éppen pályaelhagyása. Ezek a megfigyelési szempontok ebben az esetben nem egységek, mert az így nyert adatokon keresztül következtetünk az intézmények összműködésére </w:t>
      </w:r>
      <w:r w:rsidRPr="00391EE4">
        <w:rPr>
          <w:rFonts w:ascii="Times New Roman" w:hAnsi="Times New Roman"/>
          <w:i/>
          <w:iCs/>
          <w:sz w:val="24"/>
          <w:szCs w:val="24"/>
          <w:lang w:eastAsia="hu-HU"/>
        </w:rPr>
        <w:t>(megfigyelési/elemzési egység = a szervezet).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Emberi produktumok. </w:t>
      </w:r>
      <w:r w:rsidRPr="00391EE4">
        <w:rPr>
          <w:rFonts w:ascii="Times New Roman" w:hAnsi="Times New Roman"/>
          <w:sz w:val="24"/>
          <w:szCs w:val="24"/>
          <w:lang w:eastAsia="hu-HU"/>
        </w:rPr>
        <w:t>Ezen kategóriába tartozik az egyének, csoportok és szervezetek viselkedése, cselekedetei, létrehozott tárgyai, alkotásai. Ilyen megfigyelési/elemzési egységnek tekinthetők könyvek, újságcikkek, reklámok, poszterek, műsorok, újságcikkek művészi produkciók, WEB-lapok stb.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19" w:name="_GoBack"/>
      <w:bookmarkEnd w:id="19"/>
      <w:r w:rsidRPr="00391EE4">
        <w:rPr>
          <w:rFonts w:ascii="Times New Roman" w:hAnsi="Times New Roman"/>
          <w:sz w:val="24"/>
          <w:szCs w:val="24"/>
          <w:lang w:eastAsia="hu-HU"/>
        </w:rPr>
        <w:t>A konkrét kutatási megbízás céljainak tisztázása után könnyen eldönthető, hogy mik legyenek a megfigyelési egységek. A fontos csak az, hogy tudjuk, mit vagy kit, kiket figyelünk meg, s ne keverjük össze ezeket az egységeket. Az elemzési egységek helyes megválasztásával jobb válaszokat adhatunk a piackutatási kérdésekre. Fontos tudnunk, hogy a vásárlást, a vásárlókat vagy a vásárolt termékeket vizsgáljuk. Ez mind külön megfigyelésünk egy-egy gyújtópontja.</w:t>
      </w:r>
    </w:p>
    <w:p w:rsidR="007348B3" w:rsidRPr="00391EE4" w:rsidRDefault="007348B3" w:rsidP="00391E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1EE4">
        <w:rPr>
          <w:rFonts w:ascii="Times New Roman" w:hAnsi="Times New Roman"/>
          <w:sz w:val="24"/>
          <w:szCs w:val="24"/>
          <w:lang w:eastAsia="hu-HU"/>
        </w:rPr>
        <w:t>Legtöbbször – a gazdaságossági szempontokat is figyelembe véve, hogy ne kelljen ugyanarra a megbízásra olyan sokat költeni – egyszerre többféle megfigyelési/elemzési egységgel dolgozunk. Az előbbi példánál maradva valószínűleg nem három, megfigyeléses vizsgálatot végzünk, hanem egyet, amelyben megfigyelésünk fókuszában e három, amúgy is összetartozó megfigyelési egység kerül: vásárló – vásárlás – vásárolt termékek (vagy más esetekben termékválaszték). Ilyenkor elengedhetetlen, hogy a kutató tudja, még akkor is, ha ezek összetartozó, egymással kapcsolódó elemek, melyik egység mire vonatkozik, és mit vár ezen egységek vizsgálatától (megfigyelésétől).</w:t>
      </w:r>
    </w:p>
    <w:p w:rsidR="007348B3" w:rsidRDefault="007348B3"/>
    <w:sectPr w:rsidR="007348B3" w:rsidSect="0013161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B3" w:rsidRDefault="007348B3">
      <w:r>
        <w:separator/>
      </w:r>
    </w:p>
  </w:endnote>
  <w:endnote w:type="continuationSeparator" w:id="0">
    <w:p w:rsidR="007348B3" w:rsidRDefault="0073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B3" w:rsidRDefault="007348B3" w:rsidP="00EF13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8B3" w:rsidRDefault="00734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B3" w:rsidRDefault="007348B3" w:rsidP="00EF13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48B3" w:rsidRDefault="0073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B3" w:rsidRDefault="007348B3">
      <w:r>
        <w:separator/>
      </w:r>
    </w:p>
  </w:footnote>
  <w:footnote w:type="continuationSeparator" w:id="0">
    <w:p w:rsidR="007348B3" w:rsidRDefault="00734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57C"/>
    <w:multiLevelType w:val="multilevel"/>
    <w:tmpl w:val="E612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01A57"/>
    <w:multiLevelType w:val="multilevel"/>
    <w:tmpl w:val="56A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01698"/>
    <w:multiLevelType w:val="multilevel"/>
    <w:tmpl w:val="FC0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4300E"/>
    <w:multiLevelType w:val="hybridMultilevel"/>
    <w:tmpl w:val="77A45C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77727"/>
    <w:multiLevelType w:val="multilevel"/>
    <w:tmpl w:val="D67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CA2DAB"/>
    <w:multiLevelType w:val="multilevel"/>
    <w:tmpl w:val="64348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53631E"/>
    <w:multiLevelType w:val="hybridMultilevel"/>
    <w:tmpl w:val="6250EC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CDA"/>
    <w:multiLevelType w:val="hybridMultilevel"/>
    <w:tmpl w:val="262CCD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F8"/>
    <w:rsid w:val="00025593"/>
    <w:rsid w:val="00090A7F"/>
    <w:rsid w:val="000D1755"/>
    <w:rsid w:val="00131615"/>
    <w:rsid w:val="00131F65"/>
    <w:rsid w:val="00142377"/>
    <w:rsid w:val="00272285"/>
    <w:rsid w:val="00342186"/>
    <w:rsid w:val="003669B0"/>
    <w:rsid w:val="00391EE4"/>
    <w:rsid w:val="00573763"/>
    <w:rsid w:val="005C57B4"/>
    <w:rsid w:val="00610830"/>
    <w:rsid w:val="00613DA1"/>
    <w:rsid w:val="007348B3"/>
    <w:rsid w:val="007556F8"/>
    <w:rsid w:val="00816D1F"/>
    <w:rsid w:val="008558E1"/>
    <w:rsid w:val="009C7BE5"/>
    <w:rsid w:val="00A34CB7"/>
    <w:rsid w:val="00A9348F"/>
    <w:rsid w:val="00BB70D2"/>
    <w:rsid w:val="00C36D1C"/>
    <w:rsid w:val="00C4716D"/>
    <w:rsid w:val="00CB3F67"/>
    <w:rsid w:val="00CD6E67"/>
    <w:rsid w:val="00EF1330"/>
    <w:rsid w:val="00F64950"/>
    <w:rsid w:val="00F72187"/>
    <w:rsid w:val="00F9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0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34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348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34C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34</Pages>
  <Words>8251</Words>
  <Characters>-32766</Characters>
  <Application>Microsoft Office Outlook</Application>
  <DocSecurity>0</DocSecurity>
  <Lines>0</Lines>
  <Paragraphs>0</Paragraphs>
  <ScaleCrop>false</ScaleCrop>
  <Company>PTE PMMIK Gépszerkezettan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Simonné B. Gabriella</dc:creator>
  <cp:keywords/>
  <dc:description/>
  <cp:lastModifiedBy>PTE PMMK Pedagógia Tanszék</cp:lastModifiedBy>
  <cp:revision>2</cp:revision>
  <dcterms:created xsi:type="dcterms:W3CDTF">2015-06-29T10:35:00Z</dcterms:created>
  <dcterms:modified xsi:type="dcterms:W3CDTF">2015-06-29T10:35:00Z</dcterms:modified>
</cp:coreProperties>
</file>