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8" w:rsidRDefault="00D706B8" w:rsidP="00623F70">
      <w:pPr>
        <w:pStyle w:val="Cmsor1"/>
        <w:jc w:val="center"/>
      </w:pPr>
      <w:r>
        <w:t>Karbantartás és szervezése I</w:t>
      </w:r>
      <w:r w:rsidR="00CE78FF">
        <w:t>I</w:t>
      </w:r>
      <w:r>
        <w:t>.</w:t>
      </w:r>
    </w:p>
    <w:p w:rsidR="002D37AB" w:rsidRDefault="00141807" w:rsidP="00623F70">
      <w:pPr>
        <w:pStyle w:val="Cmsor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760CD9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GENB572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4A7BFE">
            <w:pPr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9579C1">
              <w:rPr>
                <w:b/>
                <w:i/>
              </w:rPr>
              <w:t>0</w:t>
            </w:r>
            <w:r w:rsidR="00005A57">
              <w:rPr>
                <w:b/>
                <w:i/>
              </w:rPr>
              <w:t>/</w:t>
            </w:r>
            <w:r w:rsidR="009579C1">
              <w:rPr>
                <w:b/>
                <w:i/>
              </w:rPr>
              <w:t>2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Szak(ok)/ típus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455A44">
            <w:pPr>
              <w:rPr>
                <w:b/>
                <w:i/>
              </w:rPr>
            </w:pPr>
            <w:r>
              <w:rPr>
                <w:b/>
                <w:i/>
              </w:rPr>
              <w:t>ta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4A7BFE">
            <w:pPr>
              <w:rPr>
                <w:b/>
                <w:i/>
              </w:rPr>
            </w:pPr>
            <w:r>
              <w:rPr>
                <w:b/>
                <w:i/>
              </w:rPr>
              <w:t>GENB 571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>Oktató tanszék(ek)</w:t>
            </w:r>
            <w:r>
              <w:rPr>
                <w:rStyle w:val="Lbjegyzet-hivatkozs"/>
              </w:rPr>
              <w:footnoteReference w:id="7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Cs.Nagy Géza e.adj.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</w:p>
          <w:p w:rsidR="00141807" w:rsidRPr="00141807" w:rsidRDefault="002E1989" w:rsidP="00FB0A23">
            <w:r>
              <w:t>A gépészmérnöki gyakorlatban elvárható alapvető</w:t>
            </w:r>
            <w:r w:rsidR="007552D3">
              <w:t>, az  üzemfenntartói tevékenység során előforduló kenés-,</w:t>
            </w:r>
            <w:r w:rsidR="004A7BFE">
              <w:t xml:space="preserve"> ill. szereléstechnikai</w:t>
            </w:r>
            <w:r w:rsidR="007552D3">
              <w:t xml:space="preserve"> ismeretek</w:t>
            </w:r>
            <w:r>
              <w:t xml:space="preserve"> átadása.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141807">
              <w:t>Rövid leírás:</w:t>
            </w:r>
          </w:p>
          <w:p w:rsidR="00141807" w:rsidRPr="00141807" w:rsidRDefault="007552D3" w:rsidP="00FB0A23">
            <w:r>
              <w:t>A tribológiai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 w:rsidP="00FB0A23">
            <w:r w:rsidRPr="00141807">
              <w:t>Oktatási módszer:</w:t>
            </w:r>
          </w:p>
          <w:p w:rsidR="005518F5" w:rsidRPr="00141807" w:rsidRDefault="005518F5" w:rsidP="00FB0A23">
            <w:r>
              <w:t>Előadás, szükség szerint írásvetítővel ill. PP bemutatókkal kiegészítve.</w:t>
            </w:r>
            <w:r w:rsidR="002A4A1E">
              <w:t xml:space="preserve"> Üzemlátogatás.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76465C">
            <w:r w:rsidRPr="00141807">
              <w:t>Követelmények a szorgalmi időszakban:</w:t>
            </w:r>
          </w:p>
          <w:p w:rsidR="00141807" w:rsidRDefault="00141807">
            <w:r w:rsidRPr="00141807">
              <w:t xml:space="preserve"> </w:t>
            </w:r>
            <w:r w:rsidR="00AE3D32">
              <w:t xml:space="preserve">2 db zárthelyi megírása a </w:t>
            </w:r>
            <w:r w:rsidR="00435A6B">
              <w:t>6</w:t>
            </w:r>
            <w:r w:rsidR="00AE3D32">
              <w:t>. és a 1</w:t>
            </w:r>
            <w:r w:rsidR="00435A6B">
              <w:t>2</w:t>
            </w:r>
            <w:r w:rsidR="008F12AA">
              <w:t>.héten, összesen 40/min.20</w:t>
            </w:r>
            <w:r w:rsidR="00AE3D32">
              <w:t xml:space="preserve"> pont</w:t>
            </w:r>
            <w:r w:rsidR="008F12AA">
              <w:t>. 1 db évközi feladat elkészítése 10</w:t>
            </w:r>
            <w:r w:rsidR="0011360C">
              <w:t>/</w:t>
            </w:r>
            <w:r w:rsidR="008F12AA">
              <w:t xml:space="preserve"> min. 5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AE3D32">
            <w:r>
              <w:t xml:space="preserve"> 15-24 pont között pótlási lehetőség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>
            <w:r w:rsidRPr="00141807">
              <w:t>Követelmények a vizsgaidőszakban:</w:t>
            </w:r>
          </w:p>
          <w:p w:rsidR="00AE3D32" w:rsidRPr="00141807" w:rsidRDefault="00AE3D32">
            <w:r>
              <w:t>Írásbeli, 50/min. 25 pont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Jegyzet, tankönyv, felhasználható irodalom:</w:t>
            </w:r>
          </w:p>
          <w:p w:rsidR="00141807" w:rsidRPr="00141807" w:rsidRDefault="00EF59D8">
            <w:r>
              <w:t>http://pmmf.hu/</w:t>
            </w:r>
            <w:r w:rsidRPr="00EF59D8">
              <w:t>Gepszerkezettan_Tanszek\Cs_Nagy Geza\Karbantartás és szervezése\Karbantartás és szervezése I</w:t>
            </w:r>
            <w:r w:rsidR="007552D3">
              <w:t>I.</w:t>
            </w:r>
          </w:p>
        </w:tc>
      </w:tr>
    </w:tbl>
    <w:p w:rsidR="002C13CC" w:rsidRDefault="002C13CC"/>
    <w:p w:rsidR="00B270B8" w:rsidRDefault="00760CD9">
      <w:r>
        <w:t>Tantárgykurzusok a 2009/2010</w:t>
      </w:r>
      <w:r w:rsidR="00107A06">
        <w:t>. tanév 2</w:t>
      </w:r>
      <w:r w:rsidR="00B270B8">
        <w:t>. félévében:</w:t>
      </w:r>
    </w:p>
    <w:tbl>
      <w:tblPr>
        <w:tblStyle w:val="Rcsostblzat"/>
        <w:tblW w:w="9072" w:type="dxa"/>
        <w:tblLook w:val="01E0"/>
      </w:tblPr>
      <w:tblGrid>
        <w:gridCol w:w="1008"/>
        <w:gridCol w:w="4000"/>
        <w:gridCol w:w="1800"/>
        <w:gridCol w:w="888"/>
        <w:gridCol w:w="1376"/>
      </w:tblGrid>
      <w:tr w:rsidR="00B270B8">
        <w:tc>
          <w:tcPr>
            <w:tcW w:w="1008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4000" w:type="dxa"/>
          </w:tcPr>
          <w:p w:rsidR="00B270B8" w:rsidRDefault="00B270B8" w:rsidP="00BB60E3">
            <w:pPr>
              <w:jc w:val="center"/>
            </w:pPr>
            <w:r>
              <w:t>Oktató(k)</w:t>
            </w:r>
          </w:p>
        </w:tc>
        <w:tc>
          <w:tcPr>
            <w:tcW w:w="1800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88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376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>
        <w:tc>
          <w:tcPr>
            <w:tcW w:w="1008" w:type="dxa"/>
          </w:tcPr>
          <w:p w:rsidR="00541F39" w:rsidRDefault="00CF4E52" w:rsidP="00D46B36">
            <w:r>
              <w:t>e</w:t>
            </w:r>
            <w:r w:rsidR="00050682">
              <w:t>a</w:t>
            </w:r>
            <w:r>
              <w:t>.</w:t>
            </w:r>
          </w:p>
        </w:tc>
        <w:tc>
          <w:tcPr>
            <w:tcW w:w="4000" w:type="dxa"/>
          </w:tcPr>
          <w:p w:rsidR="00541F39" w:rsidRDefault="00050682" w:rsidP="00D46B36">
            <w:r>
              <w:t>Cs.</w:t>
            </w:r>
            <w:smartTag w:uri="urn:schemas-microsoft-com:office:smarttags" w:element="PersonName">
              <w:r>
                <w:t>Nagy Géza</w:t>
              </w:r>
            </w:smartTag>
          </w:p>
        </w:tc>
        <w:tc>
          <w:tcPr>
            <w:tcW w:w="1800" w:type="dxa"/>
          </w:tcPr>
          <w:p w:rsidR="00541F39" w:rsidRDefault="002A4A1E" w:rsidP="002A4A1E">
            <w:r>
              <w:t>Sze</w:t>
            </w:r>
            <w:r w:rsidR="004A7BFE">
              <w:t xml:space="preserve"> </w:t>
            </w:r>
            <w:r>
              <w:t xml:space="preserve"> 7:45</w:t>
            </w:r>
            <w:r w:rsidR="004A7BFE">
              <w:t>-</w:t>
            </w:r>
            <w:r>
              <w:t xml:space="preserve"> 9:15</w:t>
            </w:r>
          </w:p>
        </w:tc>
        <w:tc>
          <w:tcPr>
            <w:tcW w:w="888" w:type="dxa"/>
          </w:tcPr>
          <w:p w:rsidR="00541F39" w:rsidRDefault="00107A06" w:rsidP="00D46B36">
            <w:r>
              <w:t>O-02</w:t>
            </w:r>
          </w:p>
        </w:tc>
        <w:tc>
          <w:tcPr>
            <w:tcW w:w="1376" w:type="dxa"/>
          </w:tcPr>
          <w:p w:rsidR="00541F39" w:rsidRDefault="00541F39"/>
        </w:tc>
      </w:tr>
      <w:tr w:rsidR="004A7BFE">
        <w:tc>
          <w:tcPr>
            <w:tcW w:w="1008" w:type="dxa"/>
          </w:tcPr>
          <w:p w:rsidR="004A7BFE" w:rsidRDefault="004A7BFE" w:rsidP="00D46B36">
            <w:r>
              <w:t>gy</w:t>
            </w:r>
          </w:p>
        </w:tc>
        <w:tc>
          <w:tcPr>
            <w:tcW w:w="4000" w:type="dxa"/>
          </w:tcPr>
          <w:p w:rsidR="004A7BFE" w:rsidRDefault="004A7BFE" w:rsidP="000E5BB5">
            <w:r>
              <w:t>Cs.</w:t>
            </w:r>
            <w:smartTag w:uri="urn:schemas-microsoft-com:office:smarttags" w:element="PersonName">
              <w:r>
                <w:t>Nagy Géza</w:t>
              </w:r>
            </w:smartTag>
          </w:p>
        </w:tc>
        <w:tc>
          <w:tcPr>
            <w:tcW w:w="1800" w:type="dxa"/>
          </w:tcPr>
          <w:p w:rsidR="004A7BFE" w:rsidRDefault="002A4A1E" w:rsidP="002A4A1E">
            <w:r>
              <w:t xml:space="preserve">Sze </w:t>
            </w:r>
            <w:r w:rsidR="004A7BFE">
              <w:t xml:space="preserve"> </w:t>
            </w:r>
            <w:r>
              <w:t>9:30</w:t>
            </w:r>
            <w:r w:rsidR="004A7BFE">
              <w:t>-1</w:t>
            </w:r>
            <w:r>
              <w:t>1</w:t>
            </w:r>
            <w:r w:rsidR="004A7BFE">
              <w:t>:</w:t>
            </w:r>
            <w:r>
              <w:t>00</w:t>
            </w:r>
          </w:p>
        </w:tc>
        <w:tc>
          <w:tcPr>
            <w:tcW w:w="888" w:type="dxa"/>
          </w:tcPr>
          <w:p w:rsidR="004A7BFE" w:rsidRDefault="004A7BFE" w:rsidP="00D46B36">
            <w:r>
              <w:t>O-02</w:t>
            </w:r>
          </w:p>
        </w:tc>
        <w:tc>
          <w:tcPr>
            <w:tcW w:w="1376" w:type="dxa"/>
          </w:tcPr>
          <w:p w:rsidR="004A7BFE" w:rsidRDefault="004A7BFE"/>
        </w:tc>
      </w:tr>
    </w:tbl>
    <w:p w:rsidR="00B270B8" w:rsidRDefault="00B270B8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1.</w:t>
            </w:r>
          </w:p>
        </w:tc>
        <w:tc>
          <w:tcPr>
            <w:tcW w:w="3200" w:type="dxa"/>
          </w:tcPr>
          <w:p w:rsidR="009579C1" w:rsidRDefault="009579C1" w:rsidP="00FB0A23">
            <w:r>
              <w:t>A tribológia mint tudomány. Rendszerelmélet, mint a tribológia módszertana.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A tribológiai redszer elemei, példák.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2.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Kenőanyagok érzékszervi azonosítása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3.</w:t>
            </w:r>
          </w:p>
        </w:tc>
        <w:tc>
          <w:tcPr>
            <w:tcW w:w="3200" w:type="dxa"/>
          </w:tcPr>
          <w:p w:rsidR="009579C1" w:rsidRDefault="009579C1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Mintaanyagok műszeres vizsgálata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4.</w:t>
            </w:r>
          </w:p>
        </w:tc>
        <w:tc>
          <w:tcPr>
            <w:tcW w:w="3200" w:type="dxa"/>
          </w:tcPr>
          <w:p w:rsidR="009579C1" w:rsidRDefault="009579C1" w:rsidP="00FB0A23">
            <w:r>
              <w:t>Viszkozitás fogalma, olajvizsgálati módszerek.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Üzemlátogatás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5.</w:t>
            </w:r>
          </w:p>
        </w:tc>
        <w:tc>
          <w:tcPr>
            <w:tcW w:w="3200" w:type="dxa"/>
          </w:tcPr>
          <w:p w:rsidR="009579C1" w:rsidRDefault="009579C1" w:rsidP="00FB0A23">
            <w:r>
              <w:t>Kenésállapotok, Folyadéksúrlódás kenéselméleti leírása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Kenésálapotok hatásai a rongálódási folyamatokra.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6.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szereléshelyes konstrukció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Méretlánc megoldása. </w:t>
            </w:r>
          </w:p>
          <w:p w:rsidR="009579C1" w:rsidRDefault="009579C1" w:rsidP="00502D6C">
            <w:r w:rsidRPr="002A4A1E">
              <w:rPr>
                <w:b/>
              </w:rPr>
              <w:t>1 zh. HF kiad</w:t>
            </w:r>
            <w:r>
              <w:t>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7.</w:t>
            </w:r>
          </w:p>
          <w:p w:rsidR="009579C1" w:rsidRDefault="009579C1" w:rsidP="00FB0A23"/>
        </w:tc>
        <w:tc>
          <w:tcPr>
            <w:tcW w:w="3200" w:type="dxa"/>
          </w:tcPr>
          <w:p w:rsidR="009579C1" w:rsidRDefault="009579C1" w:rsidP="00FB0A23">
            <w:r>
              <w:t>Alkatrészkapcsolat létesítésének módjai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Oldható és nem oldható kötések létrehozása</w:t>
            </w:r>
          </w:p>
        </w:tc>
      </w:tr>
    </w:tbl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00"/>
        <w:gridCol w:w="2584"/>
        <w:gridCol w:w="2680"/>
      </w:tblGrid>
      <w:tr w:rsidR="001B2B67" w:rsidTr="001B2B67">
        <w:tc>
          <w:tcPr>
            <w:tcW w:w="608" w:type="dxa"/>
          </w:tcPr>
          <w:p w:rsidR="001B2B67" w:rsidRDefault="001B2B67" w:rsidP="00E50EBB">
            <w:r>
              <w:t>8.</w:t>
            </w:r>
          </w:p>
        </w:tc>
        <w:tc>
          <w:tcPr>
            <w:tcW w:w="3200" w:type="dxa"/>
          </w:tcPr>
          <w:p w:rsidR="001B2B67" w:rsidRDefault="001B2B67" w:rsidP="00E50EBB">
            <w:r>
              <w:t>SZÜNET</w:t>
            </w:r>
          </w:p>
        </w:tc>
        <w:tc>
          <w:tcPr>
            <w:tcW w:w="2584" w:type="dxa"/>
          </w:tcPr>
          <w:p w:rsidR="001B2B67" w:rsidRDefault="001B2B67" w:rsidP="00E50EBB"/>
        </w:tc>
        <w:tc>
          <w:tcPr>
            <w:tcW w:w="2680" w:type="dxa"/>
          </w:tcPr>
          <w:p w:rsidR="001B2B67" w:rsidRDefault="001B2B67" w:rsidP="00E50EBB"/>
        </w:tc>
      </w:tr>
    </w:tbl>
    <w:tbl>
      <w:tblPr>
        <w:tblStyle w:val="Rcsostblzat"/>
        <w:tblW w:w="9072" w:type="dxa"/>
        <w:tblLayout w:type="fixed"/>
        <w:tblLook w:val="01E0"/>
      </w:tblPr>
      <w:tblGrid>
        <w:gridCol w:w="608"/>
        <w:gridCol w:w="3200"/>
        <w:gridCol w:w="2584"/>
        <w:gridCol w:w="2680"/>
      </w:tblGrid>
      <w:tr w:rsidR="001B2B67">
        <w:tc>
          <w:tcPr>
            <w:tcW w:w="608" w:type="dxa"/>
          </w:tcPr>
          <w:p w:rsidR="001B2B67" w:rsidRDefault="001B2B67" w:rsidP="00FB0A23"/>
        </w:tc>
        <w:tc>
          <w:tcPr>
            <w:tcW w:w="3200" w:type="dxa"/>
          </w:tcPr>
          <w:p w:rsidR="001B2B67" w:rsidRDefault="001B2B67" w:rsidP="00FB0A23"/>
        </w:tc>
        <w:tc>
          <w:tcPr>
            <w:tcW w:w="2584" w:type="dxa"/>
          </w:tcPr>
          <w:p w:rsidR="001B2B67" w:rsidRDefault="001B2B67" w:rsidP="000E5BB5"/>
        </w:tc>
        <w:tc>
          <w:tcPr>
            <w:tcW w:w="2680" w:type="dxa"/>
          </w:tcPr>
          <w:p w:rsidR="001B2B67" w:rsidRDefault="001B2B67" w:rsidP="00502D6C"/>
        </w:tc>
      </w:tr>
      <w:tr w:rsidR="009579C1">
        <w:tc>
          <w:tcPr>
            <w:tcW w:w="608" w:type="dxa"/>
          </w:tcPr>
          <w:p w:rsidR="009579C1" w:rsidRDefault="001B2B67" w:rsidP="00FB0A23">
            <w:r>
              <w:t>9</w:t>
            </w:r>
            <w:r w:rsidR="009579C1">
              <w:t>.</w:t>
            </w:r>
          </w:p>
        </w:tc>
        <w:tc>
          <w:tcPr>
            <w:tcW w:w="3200" w:type="dxa"/>
          </w:tcPr>
          <w:p w:rsidR="009579C1" w:rsidRDefault="009579C1" w:rsidP="00FB0A23">
            <w:r>
              <w:t>A gépszerelés eszközei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644706" w:rsidP="00502D6C">
            <w:r>
              <w:t>Leggyakoribb  szerelési</w:t>
            </w:r>
            <w:r w:rsidR="009579C1">
              <w:t xml:space="preserve"> eszközök gyakorlati beazonosítása.</w:t>
            </w:r>
          </w:p>
        </w:tc>
      </w:tr>
      <w:tr w:rsidR="009579C1">
        <w:tc>
          <w:tcPr>
            <w:tcW w:w="608" w:type="dxa"/>
          </w:tcPr>
          <w:p w:rsidR="009579C1" w:rsidRDefault="001B2B67" w:rsidP="00FB0A23">
            <w:r>
              <w:t>10</w:t>
            </w:r>
            <w:r w:rsidR="009579C1">
              <w:t>.</w:t>
            </w:r>
          </w:p>
        </w:tc>
        <w:tc>
          <w:tcPr>
            <w:tcW w:w="3200" w:type="dxa"/>
          </w:tcPr>
          <w:p w:rsidR="009579C1" w:rsidRDefault="009579C1" w:rsidP="00FB0A23">
            <w:r>
              <w:t>Gördülőcsapágyak szerelése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Csapágylehúzók, sajtók ismertetése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11.</w:t>
            </w:r>
          </w:p>
        </w:tc>
        <w:tc>
          <w:tcPr>
            <w:tcW w:w="3200" w:type="dxa"/>
          </w:tcPr>
          <w:p w:rsidR="009579C1" w:rsidRDefault="009579C1" w:rsidP="00FB0A23">
            <w:r>
              <w:t>Fogaskerekek hibalehetőségei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Alapműszerek kezelése.</w:t>
            </w:r>
          </w:p>
          <w:p w:rsidR="009579C1" w:rsidRDefault="009579C1" w:rsidP="00502D6C">
            <w:r w:rsidRPr="002A4A1E">
              <w:rPr>
                <w:b/>
              </w:rPr>
              <w:t>2.zh</w:t>
            </w:r>
            <w:r>
              <w:t>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12.</w:t>
            </w:r>
          </w:p>
        </w:tc>
        <w:tc>
          <w:tcPr>
            <w:tcW w:w="3200" w:type="dxa"/>
          </w:tcPr>
          <w:p w:rsidR="009579C1" w:rsidRDefault="009579C1" w:rsidP="00FB0A23">
            <w:r>
              <w:t>Ttömítőkötések és szerelésük.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Tömszelence, ajakos tömítés beépítése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13.</w:t>
            </w:r>
          </w:p>
        </w:tc>
        <w:tc>
          <w:tcPr>
            <w:tcW w:w="3200" w:type="dxa"/>
          </w:tcPr>
          <w:p w:rsidR="009579C1" w:rsidRDefault="009579C1" w:rsidP="00FB0A23">
            <w:r>
              <w:t>Ellenőrző, mérőműszerek.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Alakhibák felderítése.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14.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szerelés dokumentációja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Szerelési családfa, szerelési utasítás. </w:t>
            </w:r>
            <w:r w:rsidRPr="002A4A1E">
              <w:rPr>
                <w:b/>
              </w:rPr>
              <w:t>HF be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15.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szerelés szervezése.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Gant diagram és Pert-féle hálótervezés</w:t>
            </w:r>
          </w:p>
        </w:tc>
      </w:tr>
    </w:tbl>
    <w:p w:rsidR="001C73D8" w:rsidRDefault="001C73D8" w:rsidP="006F39EF"/>
    <w:p w:rsidR="00050682" w:rsidRDefault="00050682" w:rsidP="006F39EF"/>
    <w:p w:rsidR="00050682" w:rsidRDefault="002A4A1E" w:rsidP="006F39EF">
      <w:r>
        <w:t>Pécs,2010-02-01</w:t>
      </w:r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>Dr. Orbán Ferenc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Cs.</w:t>
      </w:r>
      <w:smartTag w:uri="urn:schemas-microsoft-com:office:smarttags" w:element="PersonName">
        <w:r>
          <w:t>Nagy Géza</w:t>
        </w:r>
      </w:smartTag>
    </w:p>
    <w:p w:rsidR="00050682" w:rsidRDefault="00050682" w:rsidP="006F39EF">
      <w:r>
        <w:t xml:space="preserve">   főiskolai tanár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e.adjunktus</w:t>
      </w:r>
    </w:p>
    <w:p w:rsidR="00050682" w:rsidRDefault="00050682" w:rsidP="006F39EF">
      <w:r>
        <w:t xml:space="preserve">   tanszékvezető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46" w:rsidRDefault="00B73046">
      <w:r>
        <w:separator/>
      </w:r>
    </w:p>
  </w:endnote>
  <w:endnote w:type="continuationSeparator" w:id="1">
    <w:p w:rsidR="00B73046" w:rsidRDefault="00B7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46" w:rsidRDefault="00B73046">
      <w:r>
        <w:separator/>
      </w:r>
    </w:p>
  </w:footnote>
  <w:footnote w:type="continuationSeparator" w:id="1">
    <w:p w:rsidR="00B73046" w:rsidRDefault="00B73046">
      <w:r>
        <w:continuationSeparator/>
      </w:r>
    </w:p>
  </w:footnote>
  <w:footnote w:id="2">
    <w:p w:rsidR="00F82882" w:rsidRDefault="00F82882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lab – labor</w:t>
      </w:r>
    </w:p>
  </w:footnote>
  <w:footnote w:id="3">
    <w:p w:rsidR="00F82882" w:rsidRDefault="00F82882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4">
    <w:p w:rsidR="00F82882" w:rsidRDefault="00F82882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5">
    <w:p w:rsidR="00F82882" w:rsidRDefault="00F82882">
      <w:pPr>
        <w:pStyle w:val="Lbjegyzetszveg"/>
      </w:pPr>
      <w:r>
        <w:rPr>
          <w:rStyle w:val="Lbjegyzet-hivatkozs"/>
        </w:rPr>
        <w:footnoteRef/>
      </w:r>
      <w:r>
        <w:t xml:space="preserve"> a – aláírás, f – félévközi jegy, v – vizsga, s – szigorlat</w:t>
      </w:r>
    </w:p>
  </w:footnote>
  <w:footnote w:id="6">
    <w:p w:rsidR="00F82882" w:rsidRDefault="00F82882">
      <w:pPr>
        <w:pStyle w:val="Lbjegyzetszveg"/>
      </w:pPr>
      <w:r>
        <w:rPr>
          <w:rStyle w:val="Lbjegyzet-hivatkozs"/>
        </w:rPr>
        <w:footnoteRef/>
      </w:r>
      <w:r>
        <w:t xml:space="preserve"> os – őszi, ta – tavaszi</w:t>
      </w:r>
    </w:p>
  </w:footnote>
  <w:footnote w:id="7">
    <w:p w:rsidR="00F82882" w:rsidRDefault="00F82882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AB"/>
    <w:rsid w:val="00005A57"/>
    <w:rsid w:val="00050682"/>
    <w:rsid w:val="000E1600"/>
    <w:rsid w:val="000E3298"/>
    <w:rsid w:val="000E5BB5"/>
    <w:rsid w:val="00107A06"/>
    <w:rsid w:val="0011360C"/>
    <w:rsid w:val="00141807"/>
    <w:rsid w:val="001B2B67"/>
    <w:rsid w:val="001C0D21"/>
    <w:rsid w:val="001C73D8"/>
    <w:rsid w:val="001E1BF5"/>
    <w:rsid w:val="002255AC"/>
    <w:rsid w:val="0022608D"/>
    <w:rsid w:val="00243BB5"/>
    <w:rsid w:val="00244C1C"/>
    <w:rsid w:val="00276764"/>
    <w:rsid w:val="002A4A1E"/>
    <w:rsid w:val="002C13CC"/>
    <w:rsid w:val="002D37AB"/>
    <w:rsid w:val="002E1989"/>
    <w:rsid w:val="002E660F"/>
    <w:rsid w:val="00305EED"/>
    <w:rsid w:val="00332EEE"/>
    <w:rsid w:val="0037297F"/>
    <w:rsid w:val="0039486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9470E"/>
    <w:rsid w:val="004A7BFE"/>
    <w:rsid w:val="004D0D9D"/>
    <w:rsid w:val="00502D6C"/>
    <w:rsid w:val="00541F39"/>
    <w:rsid w:val="005518F5"/>
    <w:rsid w:val="005546FD"/>
    <w:rsid w:val="00594369"/>
    <w:rsid w:val="005D6495"/>
    <w:rsid w:val="005F4329"/>
    <w:rsid w:val="00623F70"/>
    <w:rsid w:val="00644706"/>
    <w:rsid w:val="006A57D0"/>
    <w:rsid w:val="006F39EF"/>
    <w:rsid w:val="006F7644"/>
    <w:rsid w:val="00723312"/>
    <w:rsid w:val="007234C0"/>
    <w:rsid w:val="007552D3"/>
    <w:rsid w:val="007605FD"/>
    <w:rsid w:val="00760CD9"/>
    <w:rsid w:val="0076465C"/>
    <w:rsid w:val="00766711"/>
    <w:rsid w:val="007C224E"/>
    <w:rsid w:val="007E544D"/>
    <w:rsid w:val="008640EF"/>
    <w:rsid w:val="00895E2E"/>
    <w:rsid w:val="008F12AA"/>
    <w:rsid w:val="008F5F3B"/>
    <w:rsid w:val="009579C1"/>
    <w:rsid w:val="009A0412"/>
    <w:rsid w:val="00A03233"/>
    <w:rsid w:val="00AE3D32"/>
    <w:rsid w:val="00B23E51"/>
    <w:rsid w:val="00B270B8"/>
    <w:rsid w:val="00B64FC1"/>
    <w:rsid w:val="00B661F2"/>
    <w:rsid w:val="00B73046"/>
    <w:rsid w:val="00BB27BC"/>
    <w:rsid w:val="00BB60E3"/>
    <w:rsid w:val="00BC2988"/>
    <w:rsid w:val="00BC3505"/>
    <w:rsid w:val="00C00ACF"/>
    <w:rsid w:val="00C03177"/>
    <w:rsid w:val="00C25CA9"/>
    <w:rsid w:val="00C5777C"/>
    <w:rsid w:val="00C76E7A"/>
    <w:rsid w:val="00C839D6"/>
    <w:rsid w:val="00CA3AD9"/>
    <w:rsid w:val="00CA4D80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750C"/>
    <w:rsid w:val="00E208CD"/>
    <w:rsid w:val="00E344F9"/>
    <w:rsid w:val="00E663BF"/>
    <w:rsid w:val="00E86C38"/>
    <w:rsid w:val="00EA5C43"/>
    <w:rsid w:val="00EB2565"/>
    <w:rsid w:val="00EB5166"/>
    <w:rsid w:val="00EC1E3A"/>
    <w:rsid w:val="00ED469D"/>
    <w:rsid w:val="00EF59D8"/>
    <w:rsid w:val="00F4597C"/>
    <w:rsid w:val="00F82882"/>
    <w:rsid w:val="00FB0A23"/>
    <w:rsid w:val="00FC1890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simongabi</cp:lastModifiedBy>
  <cp:revision>4</cp:revision>
  <cp:lastPrinted>2007-09-04T10:49:00Z</cp:lastPrinted>
  <dcterms:created xsi:type="dcterms:W3CDTF">2010-02-01T09:48:00Z</dcterms:created>
  <dcterms:modified xsi:type="dcterms:W3CDTF">2010-02-04T09:52:00Z</dcterms:modified>
</cp:coreProperties>
</file>