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3E" w:rsidRPr="001E128E" w:rsidRDefault="009B2E3E" w:rsidP="00F71C3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bookmarkStart w:id="0" w:name="_GoBack"/>
      <w:bookmarkEnd w:id="0"/>
      <w:r w:rsidRPr="001E128E">
        <w:rPr>
          <w:rFonts w:ascii="Times New Roman" w:hAnsi="Times New Roman"/>
          <w:b/>
          <w:bCs/>
          <w:sz w:val="32"/>
          <w:szCs w:val="32"/>
        </w:rPr>
        <w:t>A hasadóanyag kutatás geofizikai módszerei</w:t>
      </w:r>
    </w:p>
    <w:p w:rsidR="009B2E3E" w:rsidRPr="00C823AB" w:rsidRDefault="009B2E3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C823AB">
        <w:rPr>
          <w:rFonts w:ascii="Times New Roman" w:hAnsi="Times New Roman"/>
          <w:sz w:val="24"/>
          <w:szCs w:val="24"/>
        </w:rPr>
        <w:t>TKOLS</w:t>
      </w:r>
      <w:r>
        <w:rPr>
          <w:rFonts w:ascii="Times New Roman" w:hAnsi="Times New Roman"/>
          <w:sz w:val="24"/>
          <w:szCs w:val="24"/>
        </w:rPr>
        <w:t>310</w:t>
      </w:r>
    </w:p>
    <w:p w:rsidR="009B2E3E" w:rsidRPr="003F6AD1" w:rsidRDefault="009B2E3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Szemeszter: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ta</w:t>
      </w:r>
      <w:proofErr w:type="spellEnd"/>
    </w:p>
    <w:p w:rsidR="009B2E3E" w:rsidRPr="003F6AD1" w:rsidRDefault="009B2E3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Kreditszám: 4</w:t>
      </w:r>
    </w:p>
    <w:p w:rsidR="009B2E3E" w:rsidRPr="003F6AD1" w:rsidRDefault="009B2E3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hAnsi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hAnsi="Times New Roman"/>
          <w:sz w:val="24"/>
          <w:szCs w:val="24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12 </w:t>
      </w:r>
      <w:proofErr w:type="spellStart"/>
      <w:r>
        <w:rPr>
          <w:rFonts w:ascii="Times New Roman" w:hAnsi="Times New Roman"/>
          <w:sz w:val="24"/>
          <w:szCs w:val="24"/>
          <w:lang w:eastAsia="hu-HU"/>
        </w:rPr>
        <w:t>ea</w:t>
      </w:r>
      <w:proofErr w:type="spellEnd"/>
    </w:p>
    <w:p w:rsidR="009B2E3E" w:rsidRPr="003F6AD1" w:rsidRDefault="009B2E3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hAnsi="Times New Roman"/>
          <w:sz w:val="24"/>
          <w:szCs w:val="24"/>
          <w:lang w:eastAsia="hu-HU"/>
        </w:rPr>
        <w:t>v</w:t>
      </w:r>
    </w:p>
    <w:p w:rsidR="009B2E3E" w:rsidRPr="003F6AD1" w:rsidRDefault="009B2E3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Előfeltételek: </w:t>
      </w:r>
      <w:r>
        <w:rPr>
          <w:rFonts w:ascii="Times New Roman" w:hAnsi="Times New Roman"/>
          <w:sz w:val="24"/>
          <w:szCs w:val="24"/>
          <w:lang w:eastAsia="hu-HU"/>
        </w:rPr>
        <w:t>-</w:t>
      </w:r>
    </w:p>
    <w:p w:rsidR="009B2E3E" w:rsidRPr="003F6AD1" w:rsidRDefault="009B2E3E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felelős: </w:t>
      </w:r>
      <w:r>
        <w:rPr>
          <w:rFonts w:ascii="Times New Roman" w:hAnsi="Times New Roman"/>
          <w:sz w:val="24"/>
          <w:szCs w:val="24"/>
          <w:lang w:eastAsia="hu-HU"/>
        </w:rPr>
        <w:t>Dr. Várhegyi András</w:t>
      </w:r>
    </w:p>
    <w:p w:rsidR="009B2E3E" w:rsidRPr="003F6AD1" w:rsidRDefault="009B2E3E" w:rsidP="00F71C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Tantárgy koordinátor: </w:t>
      </w:r>
      <w:r>
        <w:rPr>
          <w:rFonts w:ascii="Times New Roman" w:hAnsi="Times New Roman"/>
          <w:sz w:val="24"/>
          <w:szCs w:val="24"/>
          <w:lang w:eastAsia="hu-HU"/>
        </w:rPr>
        <w:t>Dr. Várhegyi András</w:t>
      </w:r>
    </w:p>
    <w:p w:rsidR="009B2E3E" w:rsidRPr="001E128E" w:rsidRDefault="009B2E3E" w:rsidP="001E128E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Rövid leírás:</w:t>
      </w:r>
      <w:r w:rsidRPr="00C823AB">
        <w:t xml:space="preserve"> </w:t>
      </w:r>
      <w:r w:rsidRPr="001E128E">
        <w:rPr>
          <w:rFonts w:ascii="Times New Roman" w:hAnsi="Times New Roman"/>
          <w:sz w:val="24"/>
          <w:szCs w:val="24"/>
        </w:rPr>
        <w:t xml:space="preserve">Radioaktív sugárzások és az anyag kölcsönhatása, nukleáris mérések detektorai, műszerei. Gamma-sugárzásmérésen alapuló kutatási eljárások, terepi, légi és laboratóriumi </w:t>
      </w:r>
      <w:proofErr w:type="spellStart"/>
      <w:r w:rsidRPr="001E128E">
        <w:rPr>
          <w:rFonts w:ascii="Times New Roman" w:hAnsi="Times New Roman"/>
          <w:sz w:val="24"/>
          <w:szCs w:val="24"/>
        </w:rPr>
        <w:t>gamma-spektrometria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. Alfa- és béta-sugárzásmérésen alapuló módszerek, </w:t>
      </w:r>
      <w:proofErr w:type="spellStart"/>
      <w:r w:rsidRPr="001E128E">
        <w:rPr>
          <w:rFonts w:ascii="Times New Roman" w:hAnsi="Times New Roman"/>
          <w:sz w:val="24"/>
          <w:szCs w:val="24"/>
        </w:rPr>
        <w:t>alfa-spektrometria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és LSC </w:t>
      </w:r>
      <w:proofErr w:type="spellStart"/>
      <w:r w:rsidRPr="001E128E">
        <w:rPr>
          <w:rFonts w:ascii="Times New Roman" w:hAnsi="Times New Roman"/>
          <w:sz w:val="24"/>
          <w:szCs w:val="24"/>
        </w:rPr>
        <w:t>spektrometria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alapjai. Geokémiai alapismeretek, kőzetek </w:t>
      </w:r>
      <w:proofErr w:type="spellStart"/>
      <w:r w:rsidRPr="001E128E">
        <w:rPr>
          <w:rFonts w:ascii="Times New Roman" w:hAnsi="Times New Roman"/>
          <w:sz w:val="24"/>
          <w:szCs w:val="24"/>
        </w:rPr>
        <w:t>radionuklid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tartalma, érctelep szóródási udvara, radioaktív egyensúly-bomláson alapuló izotóparányok kutatási alkalmazhatósága. </w:t>
      </w:r>
      <w:proofErr w:type="spellStart"/>
      <w:r w:rsidRPr="001E128E">
        <w:rPr>
          <w:rFonts w:ascii="Times New Roman" w:hAnsi="Times New Roman"/>
          <w:sz w:val="24"/>
          <w:szCs w:val="24"/>
        </w:rPr>
        <w:t>Radonemanációs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kutatómódszer alapjai, komplex mélységi radiometriai kutatómódszer. Kőzetfizikai és kőzetmechanikai paraméterek meghatározása (porozitás, </w:t>
      </w:r>
      <w:proofErr w:type="spellStart"/>
      <w:r w:rsidRPr="001E128E">
        <w:rPr>
          <w:rFonts w:ascii="Times New Roman" w:hAnsi="Times New Roman"/>
          <w:sz w:val="24"/>
          <w:szCs w:val="24"/>
        </w:rPr>
        <w:t>permeábilitás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, törőszilárdság stb.) laboratóriumi és </w:t>
      </w:r>
      <w:proofErr w:type="spellStart"/>
      <w:r w:rsidRPr="001E128E">
        <w:rPr>
          <w:rFonts w:ascii="Times New Roman" w:hAnsi="Times New Roman"/>
          <w:sz w:val="24"/>
          <w:szCs w:val="24"/>
        </w:rPr>
        <w:t>in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situ körülmények között. Nukleáris </w:t>
      </w:r>
      <w:proofErr w:type="spellStart"/>
      <w:r w:rsidRPr="001E128E">
        <w:rPr>
          <w:rFonts w:ascii="Times New Roman" w:hAnsi="Times New Roman"/>
          <w:sz w:val="24"/>
          <w:szCs w:val="24"/>
        </w:rPr>
        <w:t>karotázs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berendezés felépítése, alkalmazása, elektromos, természetes gamma, neutron stb. szelvényezés elmélete és gyakorlata. Gyakorlati kutatási problémák megoldása geofizikai modellalkotással: uránbánya dinamikus radiológiai modellje, érckutató fúrások környezeti hatásának modellezése stb.</w:t>
      </w:r>
    </w:p>
    <w:p w:rsidR="009B2E3E" w:rsidRPr="00C823AB" w:rsidRDefault="009B2E3E" w:rsidP="00C823AB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Általános követelmények: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Előadásokon </w:t>
      </w:r>
      <w:r w:rsidRPr="00C5405D">
        <w:rPr>
          <w:rFonts w:ascii="Times New Roman" w:hAnsi="Times New Roman"/>
          <w:sz w:val="24"/>
          <w:szCs w:val="24"/>
          <w:lang w:eastAsia="hu-HU"/>
        </w:rPr>
        <w:t xml:space="preserve">részvétel a </w:t>
      </w:r>
      <w:proofErr w:type="spellStart"/>
      <w:r w:rsidRPr="00C5405D">
        <w:rPr>
          <w:rFonts w:ascii="Times New Roman" w:hAnsi="Times New Roman"/>
          <w:sz w:val="24"/>
          <w:szCs w:val="24"/>
          <w:lang w:eastAsia="hu-HU"/>
        </w:rPr>
        <w:t>TVSz</w:t>
      </w:r>
      <w:proofErr w:type="spellEnd"/>
      <w:r w:rsidRPr="00C5405D">
        <w:rPr>
          <w:rFonts w:ascii="Times New Roman" w:hAnsi="Times New Roman"/>
          <w:sz w:val="24"/>
          <w:szCs w:val="24"/>
          <w:lang w:eastAsia="hu-HU"/>
        </w:rPr>
        <w:t xml:space="preserve"> szerint.</w:t>
      </w:r>
      <w:r>
        <w:rPr>
          <w:rFonts w:ascii="Times New Roman" w:hAnsi="Times New Roman"/>
          <w:sz w:val="24"/>
          <w:szCs w:val="24"/>
          <w:lang w:eastAsia="hu-HU"/>
        </w:rPr>
        <w:t xml:space="preserve"> Eredményes vizsga.</w:t>
      </w:r>
    </w:p>
    <w:p w:rsidR="009B2E3E" w:rsidRPr="001E128E" w:rsidRDefault="009B2E3E" w:rsidP="001E12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Cél</w:t>
      </w:r>
      <w:r w:rsidRPr="001E128E">
        <w:rPr>
          <w:rFonts w:ascii="Times New Roman" w:hAnsi="Times New Roman"/>
          <w:b/>
          <w:bCs/>
          <w:sz w:val="24"/>
          <w:szCs w:val="24"/>
          <w:lang w:eastAsia="hu-HU"/>
        </w:rPr>
        <w:t>:</w:t>
      </w:r>
      <w:r w:rsidRPr="001E128E">
        <w:rPr>
          <w:rFonts w:ascii="Times New Roman" w:hAnsi="Times New Roman"/>
          <w:sz w:val="24"/>
          <w:szCs w:val="24"/>
        </w:rPr>
        <w:t xml:space="preserve"> A hallgatók megismertetése azokkal a korszerű geofizikai – elsősorban radiometriai – kutatási eljárásokkal, amelyeket a nukleáris fűtőanyag ciklusban alkalmaznak; elsősorban az uránkutatás, uránbányászat, rekultiváció és radioaktív hulladéktároló telephelykutatás során.</w:t>
      </w:r>
    </w:p>
    <w:p w:rsidR="009B2E3E" w:rsidRPr="00F71C30" w:rsidRDefault="009B2E3E" w:rsidP="001E128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Módszer: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F71C30">
        <w:rPr>
          <w:rFonts w:ascii="Times New Roman" w:hAnsi="Times New Roman"/>
          <w:sz w:val="24"/>
          <w:szCs w:val="24"/>
        </w:rPr>
        <w:t xml:space="preserve">Előadásokkal megalapozott elméleti ismeretek, </w:t>
      </w:r>
      <w:proofErr w:type="spellStart"/>
      <w:r w:rsidRPr="00F71C30">
        <w:rPr>
          <w:rFonts w:ascii="Times New Roman" w:hAnsi="Times New Roman"/>
          <w:sz w:val="24"/>
          <w:szCs w:val="24"/>
        </w:rPr>
        <w:t>ppt-vel</w:t>
      </w:r>
      <w:proofErr w:type="spellEnd"/>
      <w:r w:rsidRPr="00F71C30">
        <w:rPr>
          <w:rFonts w:ascii="Times New Roman" w:hAnsi="Times New Roman"/>
          <w:sz w:val="24"/>
          <w:szCs w:val="24"/>
        </w:rPr>
        <w:t xml:space="preserve"> támogatott vizualizáció, </w:t>
      </w:r>
      <w:r w:rsidRPr="001E128E">
        <w:rPr>
          <w:rFonts w:ascii="Times New Roman" w:hAnsi="Times New Roman"/>
          <w:sz w:val="24"/>
          <w:szCs w:val="24"/>
        </w:rPr>
        <w:t xml:space="preserve">kőzetfizikai és kőzetmechanikai laboratórium, </w:t>
      </w:r>
      <w:proofErr w:type="spellStart"/>
      <w:r w:rsidRPr="001E128E">
        <w:rPr>
          <w:rFonts w:ascii="Times New Roman" w:hAnsi="Times New Roman"/>
          <w:sz w:val="24"/>
          <w:szCs w:val="24"/>
        </w:rPr>
        <w:t>karotázs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berendezés gyakorlati bemutatása.</w:t>
      </w:r>
    </w:p>
    <w:p w:rsidR="009B2E3E" w:rsidRPr="001E128E" w:rsidRDefault="009B2E3E" w:rsidP="001E12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Irodalom: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</w:t>
      </w:r>
      <w:r w:rsidRPr="001E128E">
        <w:rPr>
          <w:rFonts w:ascii="Times New Roman" w:hAnsi="Times New Roman"/>
          <w:sz w:val="24"/>
          <w:szCs w:val="24"/>
        </w:rPr>
        <w:t xml:space="preserve">Csővári M. – Lendvainé Koleszár </w:t>
      </w:r>
      <w:proofErr w:type="spellStart"/>
      <w:r w:rsidRPr="001E128E">
        <w:rPr>
          <w:rFonts w:ascii="Times New Roman" w:hAnsi="Times New Roman"/>
          <w:sz w:val="24"/>
          <w:szCs w:val="24"/>
        </w:rPr>
        <w:t>Zs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. – Várhegyi </w:t>
      </w:r>
      <w:proofErr w:type="gramStart"/>
      <w:r w:rsidRPr="001E128E">
        <w:rPr>
          <w:rFonts w:ascii="Times New Roman" w:hAnsi="Times New Roman"/>
          <w:sz w:val="24"/>
          <w:szCs w:val="24"/>
        </w:rPr>
        <w:t>A</w:t>
      </w:r>
      <w:proofErr w:type="gramEnd"/>
      <w:r w:rsidRPr="001E128E">
        <w:rPr>
          <w:rFonts w:ascii="Times New Roman" w:hAnsi="Times New Roman"/>
          <w:sz w:val="24"/>
          <w:szCs w:val="24"/>
        </w:rPr>
        <w:t>.: Radioaktív sugárzás. JPTE Pollack Mihály Műszaki Főiskolai Kar jegyzet, Pécs, 1998.</w:t>
      </w:r>
    </w:p>
    <w:p w:rsidR="009B2E3E" w:rsidRPr="001E128E" w:rsidRDefault="009B2E3E" w:rsidP="001E128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128E">
        <w:rPr>
          <w:rFonts w:ascii="Times New Roman" w:hAnsi="Times New Roman"/>
          <w:sz w:val="24"/>
          <w:szCs w:val="24"/>
        </w:rPr>
        <w:t xml:space="preserve">Steiner F., Várhegyi </w:t>
      </w:r>
      <w:proofErr w:type="gramStart"/>
      <w:r w:rsidRPr="001E128E">
        <w:rPr>
          <w:rFonts w:ascii="Times New Roman" w:hAnsi="Times New Roman"/>
          <w:sz w:val="24"/>
          <w:szCs w:val="24"/>
        </w:rPr>
        <w:t>A</w:t>
      </w:r>
      <w:proofErr w:type="gramEnd"/>
      <w:r w:rsidRPr="001E128E">
        <w:rPr>
          <w:rFonts w:ascii="Times New Roman" w:hAnsi="Times New Roman"/>
          <w:sz w:val="24"/>
          <w:szCs w:val="24"/>
        </w:rPr>
        <w:t>.: Radiometria (egyetemi jegyzet), Tankönyvkiadó, Budapest</w:t>
      </w:r>
    </w:p>
    <w:p w:rsidR="009B2E3E" w:rsidRPr="00B65015" w:rsidRDefault="009B2E3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a szorgalmi időszakban</w:t>
      </w:r>
      <w:proofErr w:type="gramStart"/>
      <w:r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 w:rsidRPr="00B65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Az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előadásokon és a gyakorlatokon a TVSZ-nek megfelelő </w:t>
      </w:r>
      <w:r>
        <w:rPr>
          <w:rFonts w:ascii="Times New Roman" w:hAnsi="Times New Roman"/>
          <w:sz w:val="24"/>
          <w:szCs w:val="24"/>
        </w:rPr>
        <w:t>és aktív részvétel, a vizsga ZH</w:t>
      </w:r>
      <w:r w:rsidRPr="003C36AD">
        <w:rPr>
          <w:rFonts w:ascii="Times New Roman" w:hAnsi="Times New Roman"/>
          <w:sz w:val="24"/>
          <w:szCs w:val="24"/>
        </w:rPr>
        <w:t xml:space="preserve"> megfelelt eredménnyel való megírása</w:t>
      </w:r>
    </w:p>
    <w:p w:rsidR="009B2E3E" w:rsidRPr="00B65015" w:rsidRDefault="009B2E3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3C36AD">
        <w:rPr>
          <w:rFonts w:ascii="Times New Roman" w:hAnsi="Times New Roman"/>
          <w:sz w:val="24"/>
          <w:szCs w:val="24"/>
        </w:rPr>
        <w:t xml:space="preserve">Sikeres </w:t>
      </w:r>
      <w:proofErr w:type="gramStart"/>
      <w:r w:rsidRPr="003C36AD">
        <w:rPr>
          <w:rFonts w:ascii="Times New Roman" w:hAnsi="Times New Roman"/>
          <w:sz w:val="24"/>
          <w:szCs w:val="24"/>
        </w:rPr>
        <w:t>( min</w:t>
      </w:r>
      <w:proofErr w:type="gramEnd"/>
      <w:r w:rsidRPr="003C36AD">
        <w:rPr>
          <w:rFonts w:ascii="Times New Roman" w:hAnsi="Times New Roman"/>
          <w:sz w:val="24"/>
          <w:szCs w:val="24"/>
        </w:rPr>
        <w:t>. 50 %-os ere</w:t>
      </w:r>
      <w:r>
        <w:rPr>
          <w:rFonts w:ascii="Times New Roman" w:hAnsi="Times New Roman"/>
          <w:sz w:val="24"/>
          <w:szCs w:val="24"/>
        </w:rPr>
        <w:t>dményű</w:t>
      </w:r>
      <w:proofErr w:type="gramStart"/>
      <w:r>
        <w:rPr>
          <w:rFonts w:ascii="Times New Roman" w:hAnsi="Times New Roman"/>
          <w:sz w:val="24"/>
          <w:szCs w:val="24"/>
        </w:rPr>
        <w:t>)  vizsga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C36AD">
        <w:rPr>
          <w:rFonts w:ascii="Times New Roman" w:hAnsi="Times New Roman"/>
          <w:sz w:val="24"/>
          <w:szCs w:val="24"/>
        </w:rPr>
        <w:t>ZH</w:t>
      </w:r>
    </w:p>
    <w:p w:rsidR="009B2E3E" w:rsidRPr="00B65015" w:rsidRDefault="009B2E3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Pótlások</w:t>
      </w:r>
      <w:proofErr w:type="gramStart"/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: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  </w:t>
      </w:r>
      <w:r>
        <w:rPr>
          <w:rFonts w:ascii="Times New Roman" w:hAnsi="Times New Roman"/>
          <w:sz w:val="24"/>
          <w:szCs w:val="24"/>
        </w:rPr>
        <w:t>Pótlás</w:t>
      </w:r>
      <w:proofErr w:type="gramEnd"/>
      <w:r w:rsidRPr="003C36AD">
        <w:rPr>
          <w:rFonts w:ascii="Times New Roman" w:hAnsi="Times New Roman"/>
          <w:sz w:val="24"/>
          <w:szCs w:val="24"/>
        </w:rPr>
        <w:t xml:space="preserve"> a vizsgaidőszakban egy alkalommal lehetséges</w:t>
      </w:r>
    </w:p>
    <w:p w:rsidR="009B2E3E" w:rsidRPr="00B65015" w:rsidRDefault="009B2E3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t: </w:t>
      </w:r>
      <w:r w:rsidRPr="00A03BAB">
        <w:rPr>
          <w:rFonts w:ascii="Times New Roman" w:hAnsi="Times New Roman"/>
          <w:sz w:val="24"/>
          <w:szCs w:val="24"/>
          <w:lang w:eastAsia="hu-HU"/>
        </w:rPr>
        <w:t>1</w:t>
      </w:r>
      <w:r>
        <w:rPr>
          <w:rFonts w:ascii="Times New Roman" w:hAnsi="Times New Roman"/>
          <w:sz w:val="24"/>
          <w:szCs w:val="24"/>
          <w:lang w:eastAsia="hu-HU"/>
        </w:rPr>
        <w:t xml:space="preserve"> vizsga</w:t>
      </w:r>
      <w:r w:rsidRPr="00A03BAB">
        <w:rPr>
          <w:rFonts w:ascii="Times New Roman" w:hAnsi="Times New Roman"/>
          <w:sz w:val="24"/>
          <w:szCs w:val="24"/>
          <w:lang w:eastAsia="hu-HU"/>
        </w:rPr>
        <w:t xml:space="preserve"> ZH dolgozat</w:t>
      </w:r>
      <w:r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A03BAB">
        <w:rPr>
          <w:rFonts w:ascii="Times New Roman" w:hAnsi="Times New Roman"/>
          <w:sz w:val="24"/>
          <w:szCs w:val="24"/>
          <w:lang w:eastAsia="hu-HU"/>
        </w:rPr>
        <w:t>(a 14. héten, a teljes anyagból)</w:t>
      </w:r>
      <w:r>
        <w:rPr>
          <w:rFonts w:ascii="Times New Roman" w:hAnsi="Times New Roman"/>
          <w:sz w:val="24"/>
          <w:szCs w:val="24"/>
          <w:lang w:eastAsia="hu-HU"/>
        </w:rPr>
        <w:t>.</w:t>
      </w:r>
    </w:p>
    <w:p w:rsidR="009B2E3E" w:rsidRPr="00B65015" w:rsidRDefault="009B2E3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>
        <w:rPr>
          <w:rFonts w:ascii="Times New Roman" w:hAnsi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hAnsi="Times New Roman"/>
          <w:b/>
          <w:bCs/>
          <w:sz w:val="27"/>
          <w:szCs w:val="27"/>
          <w:lang w:eastAsia="hu-HU"/>
        </w:rPr>
        <w:t xml:space="preserve">): </w:t>
      </w:r>
      <w:r>
        <w:rPr>
          <w:rFonts w:ascii="Times New Roman" w:hAnsi="Times New Roman"/>
          <w:sz w:val="24"/>
          <w:szCs w:val="24"/>
          <w:lang w:eastAsia="hu-HU"/>
        </w:rPr>
        <w:t xml:space="preserve">vizsga </w:t>
      </w:r>
      <w:proofErr w:type="gramStart"/>
      <w:r>
        <w:rPr>
          <w:rFonts w:ascii="Times New Roman" w:hAnsi="Times New Roman"/>
          <w:sz w:val="24"/>
          <w:szCs w:val="24"/>
          <w:lang w:eastAsia="hu-HU"/>
        </w:rPr>
        <w:t xml:space="preserve">jegy </w:t>
      </w:r>
      <w:r w:rsidRPr="00F42350"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 xml:space="preserve"> vizsga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F42350">
        <w:rPr>
          <w:rFonts w:ascii="Times New Roman" w:hAnsi="Times New Roman"/>
          <w:sz w:val="24"/>
          <w:szCs w:val="24"/>
          <w:lang w:eastAsia="hu-HU"/>
        </w:rPr>
        <w:t>ZH alapjá</w:t>
      </w:r>
      <w:r>
        <w:rPr>
          <w:rFonts w:ascii="Times New Roman" w:hAnsi="Times New Roman"/>
          <w:sz w:val="24"/>
          <w:szCs w:val="24"/>
          <w:lang w:eastAsia="hu-HU"/>
        </w:rPr>
        <w:t>n</w:t>
      </w:r>
    </w:p>
    <w:p w:rsidR="009B2E3E" w:rsidRPr="00B65015" w:rsidRDefault="009B2E3E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>
        <w:rPr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B65015">
        <w:rPr>
          <w:rFonts w:ascii="Times New Roman" w:hAnsi="Times New Roman"/>
          <w:sz w:val="24"/>
          <w:szCs w:val="24"/>
        </w:rPr>
        <w:t>élévközi jegy megszerzése zárthelyi eredményes teljesítésével. 50%-tól elégséges, 60%-tól közepes, 70%-tól jó, 80%-tól jeles.</w:t>
      </w:r>
    </w:p>
    <w:p w:rsidR="009B2E3E" w:rsidRPr="003F6AD1" w:rsidRDefault="009B2E3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>Program (előadás):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9B2E3E" w:rsidRPr="001E128E" w:rsidRDefault="009B2E3E" w:rsidP="001E1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>2. hét</w:t>
      </w:r>
      <w:proofErr w:type="gramStart"/>
      <w:r w:rsidRPr="001E128E">
        <w:rPr>
          <w:rFonts w:ascii="Times New Roman" w:hAnsi="Times New Roman"/>
          <w:sz w:val="24"/>
          <w:szCs w:val="24"/>
          <w:lang w:eastAsia="hu-HU"/>
        </w:rPr>
        <w:t xml:space="preserve">:  </w:t>
      </w:r>
      <w:r w:rsidRPr="001E128E">
        <w:rPr>
          <w:rFonts w:ascii="Times New Roman" w:hAnsi="Times New Roman"/>
          <w:sz w:val="24"/>
          <w:szCs w:val="24"/>
        </w:rPr>
        <w:t>Radioaktív</w:t>
      </w:r>
      <w:proofErr w:type="gramEnd"/>
      <w:r w:rsidRPr="001E128E">
        <w:rPr>
          <w:rFonts w:ascii="Times New Roman" w:hAnsi="Times New Roman"/>
          <w:sz w:val="24"/>
          <w:szCs w:val="24"/>
        </w:rPr>
        <w:t xml:space="preserve"> sugárzások és az anyag kölcsönhatása, nukleáris mérések detektorai, műszerei. Gamma-sugárzásmérésen alapuló kutatási eljárások, terepi, légi és laboratóriumi </w:t>
      </w:r>
      <w:proofErr w:type="spellStart"/>
      <w:r w:rsidRPr="001E128E">
        <w:rPr>
          <w:rFonts w:ascii="Times New Roman" w:hAnsi="Times New Roman"/>
          <w:sz w:val="24"/>
          <w:szCs w:val="24"/>
        </w:rPr>
        <w:t>gamma-spektrometria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. Alfa- és béta-sugárzásmérésen alapuló módszerek, </w:t>
      </w:r>
      <w:proofErr w:type="spellStart"/>
      <w:r w:rsidRPr="001E128E">
        <w:rPr>
          <w:rFonts w:ascii="Times New Roman" w:hAnsi="Times New Roman"/>
          <w:sz w:val="24"/>
          <w:szCs w:val="24"/>
        </w:rPr>
        <w:t>alfa-spektrometria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és LSC </w:t>
      </w:r>
      <w:proofErr w:type="spellStart"/>
      <w:r w:rsidRPr="001E128E">
        <w:rPr>
          <w:rFonts w:ascii="Times New Roman" w:hAnsi="Times New Roman"/>
          <w:sz w:val="24"/>
          <w:szCs w:val="24"/>
        </w:rPr>
        <w:t>spektrometria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alapjai. Geokémiai alapismeretek, kőzetek </w:t>
      </w:r>
      <w:proofErr w:type="spellStart"/>
      <w:r w:rsidRPr="001E128E">
        <w:rPr>
          <w:rFonts w:ascii="Times New Roman" w:hAnsi="Times New Roman"/>
          <w:sz w:val="24"/>
          <w:szCs w:val="24"/>
        </w:rPr>
        <w:t>radionuklid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tartalma, érctelep szóródási udvara, radioaktív egyensúly-bomláson alapuló izotóparányok kutatási alkalmazhatósága. </w:t>
      </w:r>
      <w:proofErr w:type="spellStart"/>
      <w:r w:rsidRPr="001E128E">
        <w:rPr>
          <w:rFonts w:ascii="Times New Roman" w:hAnsi="Times New Roman"/>
          <w:sz w:val="24"/>
          <w:szCs w:val="24"/>
        </w:rPr>
        <w:t>Radonemanációs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kutatómódszer alapjai, komplex mélységi radiometriai kutatómódszer.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9B2E3E" w:rsidRPr="001E128E" w:rsidRDefault="009B2E3E" w:rsidP="001E128E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>4. hét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9B2E3E" w:rsidRPr="001E128E" w:rsidRDefault="009B2E3E" w:rsidP="00F71C30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8. hét: </w:t>
      </w:r>
      <w:r w:rsidRPr="001E128E">
        <w:rPr>
          <w:rFonts w:ascii="Times New Roman" w:hAnsi="Times New Roman"/>
          <w:sz w:val="24"/>
          <w:szCs w:val="24"/>
        </w:rPr>
        <w:t xml:space="preserve">Kőzetfizikai és kőzetmechanikai paraméterek meghatározása (porozitás, </w:t>
      </w:r>
      <w:proofErr w:type="spellStart"/>
      <w:r w:rsidRPr="001E128E">
        <w:rPr>
          <w:rFonts w:ascii="Times New Roman" w:hAnsi="Times New Roman"/>
          <w:sz w:val="24"/>
          <w:szCs w:val="24"/>
        </w:rPr>
        <w:t>permeábilitás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, törőszilárdság stb.) laboratóriumi és </w:t>
      </w:r>
      <w:proofErr w:type="spellStart"/>
      <w:r w:rsidRPr="001E128E">
        <w:rPr>
          <w:rFonts w:ascii="Times New Roman" w:hAnsi="Times New Roman"/>
          <w:sz w:val="24"/>
          <w:szCs w:val="24"/>
        </w:rPr>
        <w:t>in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situ körülmények között. Látogatás a </w:t>
      </w:r>
      <w:proofErr w:type="spellStart"/>
      <w:r w:rsidRPr="001E128E">
        <w:rPr>
          <w:rFonts w:ascii="Times New Roman" w:hAnsi="Times New Roman"/>
          <w:sz w:val="24"/>
          <w:szCs w:val="24"/>
        </w:rPr>
        <w:t>Geochem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(Dr. Fedor Ferenc) és a Kőmérő Kft. (Kovács László) laboratóriumában, a volt MÉV Szolgáltató üzem (Kővágószőlős) területén.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9B2E3E" w:rsidRPr="001E128E" w:rsidRDefault="009B2E3E" w:rsidP="001E12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10. hét: </w:t>
      </w:r>
      <w:r w:rsidRPr="001E128E">
        <w:rPr>
          <w:rFonts w:ascii="Times New Roman" w:hAnsi="Times New Roman"/>
          <w:sz w:val="24"/>
          <w:szCs w:val="24"/>
        </w:rPr>
        <w:t xml:space="preserve">Nukleáris </w:t>
      </w:r>
      <w:proofErr w:type="spellStart"/>
      <w:r w:rsidRPr="001E128E">
        <w:rPr>
          <w:rFonts w:ascii="Times New Roman" w:hAnsi="Times New Roman"/>
          <w:sz w:val="24"/>
          <w:szCs w:val="24"/>
        </w:rPr>
        <w:t>karotázs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berendezés felépítése, alkalmazása, elektromos, természetes gamma, neutron stb. szelvényezés elmélete és gyakorlata (</w:t>
      </w:r>
      <w:proofErr w:type="spellStart"/>
      <w:r w:rsidRPr="001E128E">
        <w:rPr>
          <w:rFonts w:ascii="Times New Roman" w:hAnsi="Times New Roman"/>
          <w:sz w:val="24"/>
          <w:szCs w:val="24"/>
        </w:rPr>
        <w:t>Henézi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Ferenc, </w:t>
      </w:r>
      <w:proofErr w:type="spellStart"/>
      <w:r w:rsidRPr="001E128E">
        <w:rPr>
          <w:rFonts w:ascii="Times New Roman" w:hAnsi="Times New Roman"/>
          <w:sz w:val="24"/>
          <w:szCs w:val="24"/>
        </w:rPr>
        <w:t>Karotázs</w:t>
      </w:r>
      <w:proofErr w:type="spellEnd"/>
      <w:r w:rsidRPr="001E128E">
        <w:rPr>
          <w:rFonts w:ascii="Times New Roman" w:hAnsi="Times New Roman"/>
          <w:sz w:val="24"/>
          <w:szCs w:val="24"/>
        </w:rPr>
        <w:t xml:space="preserve"> Kft. gyakorlati bemutatója). Gyakorlati kutatási problémák megoldása geofizikai modellalkotással: uránbánya dinamikus radiológiai modellje, érckutató fúrások környezeti hatásának modellezése stb.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9B2E3E" w:rsidRPr="001E128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1E128E">
        <w:rPr>
          <w:rFonts w:ascii="Times New Roman" w:hAnsi="Times New Roman"/>
          <w:sz w:val="24"/>
          <w:szCs w:val="24"/>
          <w:lang w:eastAsia="hu-HU"/>
        </w:rPr>
        <w:t>15. hét</w:t>
      </w:r>
    </w:p>
    <w:p w:rsidR="009B2E3E" w:rsidRPr="003F6AD1" w:rsidRDefault="009B2E3E" w:rsidP="003F6AD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9B2E3E" w:rsidRPr="003F6AD1" w:rsidRDefault="009B2E3E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hAnsi="Times New Roman"/>
          <w:b/>
          <w:bCs/>
          <w:sz w:val="27"/>
          <w:szCs w:val="27"/>
          <w:lang w:eastAsia="hu-HU"/>
        </w:rPr>
        <w:t>Program (gyakorlat):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4.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7.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10.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12.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3F6AD1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9B2E3E" w:rsidRDefault="009B2E3E" w:rsidP="003F6AD1">
      <w:pPr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9B2E3E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67C7"/>
    <w:rsid w:val="00163078"/>
    <w:rsid w:val="001E128E"/>
    <w:rsid w:val="00274466"/>
    <w:rsid w:val="002847A8"/>
    <w:rsid w:val="002B2A67"/>
    <w:rsid w:val="003A3772"/>
    <w:rsid w:val="003C36AD"/>
    <w:rsid w:val="003F6AD1"/>
    <w:rsid w:val="0042526B"/>
    <w:rsid w:val="004C36BD"/>
    <w:rsid w:val="00701951"/>
    <w:rsid w:val="009B2E3E"/>
    <w:rsid w:val="00A03BAB"/>
    <w:rsid w:val="00B65015"/>
    <w:rsid w:val="00BF25FC"/>
    <w:rsid w:val="00BF48F8"/>
    <w:rsid w:val="00C52541"/>
    <w:rsid w:val="00C5405D"/>
    <w:rsid w:val="00C823AB"/>
    <w:rsid w:val="00E11597"/>
    <w:rsid w:val="00F42350"/>
    <w:rsid w:val="00F546BC"/>
    <w:rsid w:val="00F7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biztonság I</vt:lpstr>
    </vt:vector>
  </TitlesOfParts>
  <Company>PTE PMMiK</Company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biztonság I</dc:title>
  <dc:creator>Enviro</dc:creator>
  <cp:lastModifiedBy>Enviro</cp:lastModifiedBy>
  <cp:revision>2</cp:revision>
  <dcterms:created xsi:type="dcterms:W3CDTF">2014-02-25T15:29:00Z</dcterms:created>
  <dcterms:modified xsi:type="dcterms:W3CDTF">2014-02-25T15:29:00Z</dcterms:modified>
</cp:coreProperties>
</file>