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8" w:rsidRDefault="003B0EC8" w:rsidP="00CE1DB9">
      <w:pPr>
        <w:rPr>
          <w:b/>
          <w:bCs/>
        </w:rPr>
      </w:pPr>
    </w:p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1022"/>
        <w:gridCol w:w="113"/>
        <w:gridCol w:w="485"/>
        <w:gridCol w:w="302"/>
        <w:gridCol w:w="1138"/>
        <w:gridCol w:w="540"/>
        <w:gridCol w:w="1440"/>
        <w:gridCol w:w="662"/>
      </w:tblGrid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megnevezése: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Dramaturgia II.     </w:t>
            </w:r>
          </w:p>
        </w:tc>
      </w:tr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követelmény modulja: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1574-06 Közreműködés a televízióműsor-gyártásban </w:t>
            </w:r>
          </w:p>
        </w:tc>
      </w:tr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kódja: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PMPENF658</w:t>
            </w:r>
          </w:p>
        </w:tc>
      </w:tr>
      <w:tr w:rsidR="003B0EC8">
        <w:tc>
          <w:tcPr>
            <w:tcW w:w="3708" w:type="dxa"/>
            <w:gridSpan w:val="3"/>
            <w:shd w:val="clear" w:color="auto" w:fill="C0C0C0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Kontaktórák száma:</w:t>
            </w:r>
          </w:p>
        </w:tc>
        <w:tc>
          <w:tcPr>
            <w:tcW w:w="1135" w:type="dxa"/>
            <w:gridSpan w:val="2"/>
            <w:shd w:val="clear" w:color="auto" w:fill="C0C0C0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Elmélet:</w:t>
            </w:r>
          </w:p>
        </w:tc>
        <w:tc>
          <w:tcPr>
            <w:tcW w:w="485" w:type="dxa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Gyakorlat:</w:t>
            </w:r>
          </w:p>
        </w:tc>
        <w:tc>
          <w:tcPr>
            <w:tcW w:w="540" w:type="dxa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C0C0C0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Szemeszter:</w:t>
            </w:r>
          </w:p>
        </w:tc>
        <w:tc>
          <w:tcPr>
            <w:tcW w:w="662" w:type="dxa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Számonkérés módja: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jegy</w:t>
            </w:r>
          </w:p>
        </w:tc>
      </w:tr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tantárgy kreditértéke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tantárgy előtanulmányi rendje:</w:t>
            </w:r>
          </w:p>
        </w:tc>
        <w:tc>
          <w:tcPr>
            <w:tcW w:w="5702" w:type="dxa"/>
            <w:gridSpan w:val="8"/>
            <w:tcBorders>
              <w:bottom w:val="nil"/>
            </w:tcBorders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Dramaturgia I. </w:t>
            </w:r>
          </w:p>
        </w:tc>
      </w:tr>
      <w:tr w:rsidR="003B0EC8">
        <w:tc>
          <w:tcPr>
            <w:tcW w:w="3708" w:type="dxa"/>
            <w:gridSpan w:val="3"/>
            <w:shd w:val="clear" w:color="auto" w:fill="C0C0C0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PTE PMMK tantárgyfelelős:</w:t>
            </w:r>
          </w:p>
        </w:tc>
        <w:tc>
          <w:tcPr>
            <w:tcW w:w="5702" w:type="dxa"/>
            <w:gridSpan w:val="8"/>
          </w:tcPr>
          <w:p w:rsidR="003B0EC8" w:rsidRDefault="003B0EC8" w:rsidP="008D63DB">
            <w:pPr>
              <w:pStyle w:val="Heading3"/>
              <w:rPr>
                <w:b w:val="0"/>
                <w:bCs w:val="0"/>
              </w:rPr>
            </w:pPr>
            <w:r>
              <w:t xml:space="preserve">Bagossy László  </w:t>
            </w:r>
            <w:r>
              <w:rPr>
                <w:b w:val="0"/>
                <w:bCs w:val="0"/>
              </w:rPr>
              <w:t xml:space="preserve">színházelméleti szakember 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3B0EC8">
        <w:tc>
          <w:tcPr>
            <w:tcW w:w="3708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</w:p>
        </w:tc>
      </w:tr>
      <w:tr w:rsidR="003B0EC8">
        <w:tc>
          <w:tcPr>
            <w:tcW w:w="9410" w:type="dxa"/>
            <w:gridSpan w:val="11"/>
          </w:tcPr>
          <w:p w:rsidR="003B0EC8" w:rsidRDefault="003B0EC8" w:rsidP="00A8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hallgatók ismerjék meg a történetelbeszélés és a jellemábrázolás alapvető szabályait, módszereit. </w:t>
            </w:r>
          </w:p>
        </w:tc>
      </w:tr>
      <w:tr w:rsidR="003B0EC8">
        <w:tc>
          <w:tcPr>
            <w:tcW w:w="3708" w:type="dxa"/>
            <w:gridSpan w:val="3"/>
            <w:shd w:val="clear" w:color="auto" w:fill="C0C0C0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Tantárgyi rövid program:</w:t>
            </w:r>
          </w:p>
        </w:tc>
        <w:tc>
          <w:tcPr>
            <w:tcW w:w="5702" w:type="dxa"/>
            <w:gridSpan w:val="8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0EC8">
        <w:tc>
          <w:tcPr>
            <w:tcW w:w="9410" w:type="dxa"/>
            <w:gridSpan w:val="11"/>
          </w:tcPr>
          <w:p w:rsidR="003B0EC8" w:rsidRDefault="003B0EC8" w:rsidP="008D63DB">
            <w:r>
              <w:t>Dramaturgiai alapvetések, Arisztotelész dramaturgiája, a modern dramaturgia rendszerek, a drámamodellek és a mai dráma, a konfliktusos dráma, a középpontos dráma, a kétszintes dráma, az abszurd dráma modellje. Műelemzés a tanult elméleti ismeretek alapján</w:t>
            </w:r>
            <w:bookmarkStart w:id="0" w:name="_GoBack"/>
            <w:bookmarkEnd w:id="0"/>
            <w:r>
              <w:t xml:space="preserve">. Színházlátogatás külön egyeztetett időpontban. </w:t>
            </w:r>
          </w:p>
          <w:p w:rsidR="003B0EC8" w:rsidRDefault="003B0EC8" w:rsidP="00A82564">
            <w:pPr>
              <w:pStyle w:val="tblzat"/>
              <w:autoSpaceDE/>
              <w:autoSpaceDN/>
            </w:pPr>
          </w:p>
        </w:tc>
      </w:tr>
      <w:tr w:rsidR="003B0EC8">
        <w:trPr>
          <w:trHeight w:val="334"/>
        </w:trPr>
        <w:tc>
          <w:tcPr>
            <w:tcW w:w="4730" w:type="dxa"/>
            <w:gridSpan w:val="4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0EC8">
        <w:trPr>
          <w:trHeight w:val="334"/>
        </w:trPr>
        <w:tc>
          <w:tcPr>
            <w:tcW w:w="4730" w:type="dxa"/>
            <w:gridSpan w:val="4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Előadások heti bontásban:</w:t>
            </w:r>
          </w:p>
        </w:tc>
        <w:tc>
          <w:tcPr>
            <w:tcW w:w="4680" w:type="dxa"/>
            <w:gridSpan w:val="7"/>
            <w:tcBorders>
              <w:bottom w:val="nil"/>
            </w:tcBorders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Gyakorlati órák heti bontásban:</w:t>
            </w: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pStyle w:val="tblzat"/>
              <w:autoSpaceDE/>
              <w:autoSpaceDN/>
            </w:pPr>
            <w:r>
              <w:t xml:space="preserve">Dramaturgiai alapvetés 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Arisztotelész dramaturgiája  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dramaturgiai rendszerek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pStyle w:val="tblzat"/>
              <w:autoSpaceDE/>
              <w:autoSpaceDN/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Drámamodellek és a mai dráma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Műelemzések a tanultak alapján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Műelemzések a tanultak alapján 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konfliktusos dráma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középpontos dráma 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Műelemzés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kétszintes dráma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abszurd dráma modellje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Műelemzés 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rPr>
          <w:cantSplit/>
        </w:trPr>
        <w:tc>
          <w:tcPr>
            <w:tcW w:w="4730" w:type="dxa"/>
            <w:gridSpan w:val="4"/>
            <w:shd w:val="clear" w:color="auto" w:fill="FFFFFF"/>
          </w:tcPr>
          <w:p w:rsidR="003B0EC8" w:rsidRDefault="003B0EC8" w:rsidP="00A82564">
            <w:pPr>
              <w:pStyle w:val="Btrgyszveg"/>
              <w:keepLines w:val="0"/>
              <w:spacing w:before="0"/>
            </w:pPr>
            <w:r>
              <w:t xml:space="preserve">Műelemzés </w:t>
            </w:r>
          </w:p>
        </w:tc>
        <w:tc>
          <w:tcPr>
            <w:tcW w:w="4680" w:type="dxa"/>
            <w:gridSpan w:val="7"/>
            <w:shd w:val="clear" w:color="auto" w:fill="FFFFFF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950" w:type="dxa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3780" w:type="dxa"/>
            <w:gridSpan w:val="3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</w:p>
        </w:tc>
      </w:tr>
      <w:tr w:rsidR="003B0EC8">
        <w:tc>
          <w:tcPr>
            <w:tcW w:w="4730" w:type="dxa"/>
            <w:gridSpan w:val="4"/>
          </w:tcPr>
          <w:p w:rsidR="003B0EC8" w:rsidRDefault="003B0EC8" w:rsidP="00A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Összegzés, a félév zárása </w:t>
            </w:r>
          </w:p>
        </w:tc>
        <w:tc>
          <w:tcPr>
            <w:tcW w:w="4680" w:type="dxa"/>
            <w:gridSpan w:val="7"/>
          </w:tcPr>
          <w:p w:rsidR="003B0EC8" w:rsidRDefault="003B0EC8" w:rsidP="00A82564">
            <w:pPr>
              <w:rPr>
                <w:sz w:val="20"/>
                <w:szCs w:val="20"/>
              </w:rPr>
            </w:pPr>
          </w:p>
        </w:tc>
      </w:tr>
      <w:tr w:rsidR="003B0EC8">
        <w:tc>
          <w:tcPr>
            <w:tcW w:w="5630" w:type="dxa"/>
            <w:gridSpan w:val="7"/>
            <w:shd w:val="clear" w:color="auto" w:fill="CCCCCC"/>
          </w:tcPr>
          <w:p w:rsidR="003B0EC8" w:rsidRDefault="003B0EC8" w:rsidP="00A825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3B0EC8" w:rsidRDefault="003B0EC8" w:rsidP="00A825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0EC8">
        <w:tc>
          <w:tcPr>
            <w:tcW w:w="9410" w:type="dxa"/>
            <w:gridSpan w:val="11"/>
          </w:tcPr>
          <w:p w:rsidR="003B0EC8" w:rsidRDefault="003B0EC8" w:rsidP="00A8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cselekményelbeszélés módszerei. </w:t>
            </w:r>
          </w:p>
        </w:tc>
      </w:tr>
      <w:tr w:rsidR="003B0EC8">
        <w:tc>
          <w:tcPr>
            <w:tcW w:w="5630" w:type="dxa"/>
            <w:gridSpan w:val="7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tananyag feldolgozásához szükséges irodalom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</w:tcBorders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0EC8">
        <w:tc>
          <w:tcPr>
            <w:tcW w:w="2448" w:type="dxa"/>
            <w:gridSpan w:val="2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6962" w:type="dxa"/>
            <w:gridSpan w:val="9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0EC8">
        <w:tc>
          <w:tcPr>
            <w:tcW w:w="9410" w:type="dxa"/>
            <w:gridSpan w:val="11"/>
          </w:tcPr>
          <w:p w:rsidR="003B0EC8" w:rsidRDefault="003B0EC8" w:rsidP="008D63DB">
            <w:pPr>
              <w:pStyle w:val="BodyTextIndent3"/>
              <w:tabs>
                <w:tab w:val="left" w:pos="567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Bécsy Tamás: Mi a dráma? </w:t>
            </w:r>
          </w:p>
          <w:p w:rsidR="003B0EC8" w:rsidRDefault="003B0EC8" w:rsidP="008D63DB">
            <w:pPr>
              <w:pStyle w:val="BodyTextIndent3"/>
              <w:tabs>
                <w:tab w:val="left" w:pos="567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Bertold Brecht: Színházi tanulmányok. </w:t>
            </w:r>
          </w:p>
        </w:tc>
      </w:tr>
      <w:tr w:rsidR="003B0EC8">
        <w:tc>
          <w:tcPr>
            <w:tcW w:w="5630" w:type="dxa"/>
            <w:gridSpan w:val="7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0EC8">
        <w:tc>
          <w:tcPr>
            <w:tcW w:w="9410" w:type="dxa"/>
            <w:gridSpan w:val="11"/>
          </w:tcPr>
          <w:p w:rsidR="003B0EC8" w:rsidRDefault="003B0EC8" w:rsidP="00A82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Számítógép, projektor</w:t>
            </w:r>
          </w:p>
        </w:tc>
      </w:tr>
      <w:tr w:rsidR="003B0EC8">
        <w:tc>
          <w:tcPr>
            <w:tcW w:w="5630" w:type="dxa"/>
            <w:gridSpan w:val="7"/>
            <w:shd w:val="clear" w:color="auto" w:fill="CCCCCC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ismeretek értékelése, minősítése:</w:t>
            </w:r>
          </w:p>
        </w:tc>
        <w:tc>
          <w:tcPr>
            <w:tcW w:w="3780" w:type="dxa"/>
            <w:gridSpan w:val="4"/>
          </w:tcPr>
          <w:p w:rsidR="003B0EC8" w:rsidRDefault="003B0EC8" w:rsidP="00A8256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0EC8">
        <w:tc>
          <w:tcPr>
            <w:tcW w:w="9410" w:type="dxa"/>
            <w:gridSpan w:val="11"/>
          </w:tcPr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érdemjegy megállapításának módja: </w:t>
            </w: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 egyénileg kiadott írásbeli feladatot készítenek, amelyet  legkésőbb a 14. oktatási héten kell beadniuk. Az írásbeli feladat olyan drámaelemzés, amelyben a hallgató a felhasználja a kurzus során tanult, illetve a szakirodalomból megismert dramaturgiai ismereteit. </w:t>
            </w: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Részvételi kötelezettség: a hallgatóknak az órák legalább 70%-án részt kell venniük. Ennél alacsonyabb részvételi arány esetén orvosi igazolást kell hozni. </w:t>
            </w: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Pótlás, javítás: a vizsgaidőszak első hetében, egyénileg egyeztetett időpontban lehetséges. </w:t>
            </w: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2"/>
                <w:szCs w:val="22"/>
              </w:rPr>
            </w:pPr>
          </w:p>
          <w:p w:rsidR="003B0EC8" w:rsidRDefault="003B0EC8" w:rsidP="00A82564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3B0EC8" w:rsidRDefault="003B0EC8" w:rsidP="00CE1DB9">
      <w:pPr>
        <w:rPr>
          <w:b/>
          <w:bCs/>
        </w:rPr>
      </w:pPr>
    </w:p>
    <w:p w:rsidR="003B0EC8" w:rsidRDefault="003B0EC8" w:rsidP="00CE1DB9">
      <w:pPr>
        <w:rPr>
          <w:b/>
          <w:bCs/>
        </w:rPr>
      </w:pPr>
    </w:p>
    <w:p w:rsidR="003B0EC8" w:rsidRDefault="003B0EC8" w:rsidP="00CE1DB9">
      <w:pPr>
        <w:rPr>
          <w:b/>
          <w:bCs/>
        </w:rPr>
      </w:pPr>
    </w:p>
    <w:p w:rsidR="003B0EC8" w:rsidRDefault="003B0EC8" w:rsidP="00CE1DB9">
      <w:r>
        <w:rPr>
          <w:b/>
          <w:bCs/>
        </w:rPr>
        <w:br w:type="page"/>
      </w:r>
    </w:p>
    <w:sectPr w:rsidR="003B0EC8" w:rsidSect="00CE3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B9"/>
    <w:rsid w:val="000545E8"/>
    <w:rsid w:val="00072554"/>
    <w:rsid w:val="002A5A3C"/>
    <w:rsid w:val="003B0EC8"/>
    <w:rsid w:val="00517E19"/>
    <w:rsid w:val="008D63DB"/>
    <w:rsid w:val="00A82564"/>
    <w:rsid w:val="00AC1E22"/>
    <w:rsid w:val="00CE1DB9"/>
    <w:rsid w:val="00CE378C"/>
    <w:rsid w:val="00E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B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DB9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1DB9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customStyle="1" w:styleId="Btrgyszveg">
    <w:name w:val="B_tárgy_szöveg"/>
    <w:basedOn w:val="Normal"/>
    <w:autoRedefine/>
    <w:uiPriority w:val="99"/>
    <w:rsid w:val="00CE1DB9"/>
    <w:pPr>
      <w:keepLines/>
      <w:spacing w:before="40"/>
      <w:jc w:val="both"/>
    </w:pPr>
    <w:rPr>
      <w:sz w:val="20"/>
      <w:szCs w:val="20"/>
    </w:rPr>
  </w:style>
  <w:style w:type="paragraph" w:customStyle="1" w:styleId="tblzat">
    <w:name w:val="táblázat"/>
    <w:basedOn w:val="Normal"/>
    <w:uiPriority w:val="99"/>
    <w:rsid w:val="00CE1DB9"/>
    <w:pPr>
      <w:autoSpaceDE w:val="0"/>
      <w:autoSpaceDN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1D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1DB9"/>
    <w:rPr>
      <w:rFonts w:ascii="Times New Roman" w:hAnsi="Times New Roman" w:cs="Times New Roman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312</Words>
  <Characters>2153</Characters>
  <Application>Microsoft Office Outlook</Application>
  <DocSecurity>0</DocSecurity>
  <Lines>0</Lines>
  <Paragraphs>0</Paragraphs>
  <ScaleCrop>false</ScaleCrop>
  <Company>PMMIK Pedagógia Tanszék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megnevezése:</dc:title>
  <dc:subject/>
  <dc:creator>PTE Gocsál Ákos</dc:creator>
  <cp:keywords/>
  <dc:description/>
  <cp:lastModifiedBy>PTE PMMK Pedagógia Tanszék</cp:lastModifiedBy>
  <cp:revision>2</cp:revision>
  <dcterms:created xsi:type="dcterms:W3CDTF">2014-02-27T09:42:00Z</dcterms:created>
  <dcterms:modified xsi:type="dcterms:W3CDTF">2014-02-27T09:42:00Z</dcterms:modified>
</cp:coreProperties>
</file>