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280" w:after="280"/>
        <w:rPr>
          <w:sz w:val="36"/>
          <w:b/>
          <w:sz w:val="36"/>
          <w:b/>
          <w:szCs w:val="36"/>
          <w:bCs/>
          <w:rFonts w:ascii="Times New Roman" w:hAnsi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cs="Times New Roman" w:ascii="Times New Roman" w:hAnsi="Times New Roman"/>
          <w:b/>
          <w:bCs/>
          <w:sz w:val="36"/>
          <w:szCs w:val="36"/>
          <w:lang w:eastAsia="hu-HU"/>
        </w:rPr>
        <w:t>Vasúttervezés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Kód: PM-TKGNB318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</w:pPr>
      <w:r>
        <w:rPr>
          <w:rFonts w:cs="Times New Roman" w:ascii="Times New Roman" w:hAnsi="Times New Roman"/>
          <w:sz w:val="24"/>
          <w:szCs w:val="17"/>
          <w:lang w:eastAsia="hu-HU"/>
        </w:rPr>
        <w:t xml:space="preserve">Szemeszter: </w:t>
      </w:r>
      <w:r>
        <w:rPr>
          <w:rFonts w:cs="Times New Roman" w:ascii="Times New Roman" w:hAnsi="Times New Roman"/>
          <w:sz w:val="24"/>
          <w:szCs w:val="17"/>
          <w:lang w:eastAsia="hu-HU"/>
        </w:rPr>
        <w:t>7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Kreditszám: 5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Órák száma (ea/gy/lab): 2/2/0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Számonkérés módja: vizsga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Előfeltételek: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24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Tantárgy felelős: Gulyás András dr.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24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Tantárgy koordinátor: Lindenbach Ágnes dr.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Rövid leírás:</w:t>
      </w:r>
      <w:r/>
    </w:p>
    <w:p>
      <w:pPr>
        <w:pStyle w:val="Normal"/>
        <w:spacing w:before="280" w:after="280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A vasútvonalak osztályozása, vízszintes és magassági vonalvezetése, vasútvonalak nyomozása, vonaltervezés mozgásgeometriai alapon. Kitérők és átszelések geometriai és szerkezeti tervezése. Szabványos és egyedi vágánykapcsolások kialakítása. Állomások és pályaudvarok tervezése. Számítógépes vasúttervezés alapjai.</w:t>
      </w:r>
      <w:r/>
    </w:p>
    <w:p>
      <w:pPr>
        <w:pStyle w:val="Normal"/>
        <w:spacing w:lineRule="atLeast" w:line="100" w:before="280" w:after="280"/>
        <w:jc w:val="both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Általános követelmények:</w:t>
      </w:r>
      <w:r/>
    </w:p>
    <w:p>
      <w:pPr>
        <w:pStyle w:val="Normal"/>
        <w:spacing w:before="280" w:after="280"/>
        <w:rPr>
          <w:sz w:val="24"/>
          <w:sz w:val="24"/>
          <w:szCs w:val="24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A foglalkozásokon minimum 70%-os részvétel, házi tervezési feladat, zárthelyi dolgozat, írásbeli és szóbeli vizsga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Cél:</w:t>
      </w:r>
      <w:r/>
    </w:p>
    <w:p>
      <w:pPr>
        <w:pStyle w:val="Normal"/>
        <w:spacing w:before="280" w:after="280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A vasúttervezés elméleti alapjainak elsajátítása, konkrét tervezési feladatokon keresztül a tervezés folyamatának megismerése és elsajátítása, a számítógépes vasúttervezés alapjainak megismerése.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Módszer:</w:t>
      </w:r>
      <w:r/>
    </w:p>
    <w:p>
      <w:pPr>
        <w:pStyle w:val="Normal"/>
        <w:spacing w:lineRule="atLeast" w:line="100" w:before="280" w:after="280"/>
        <w:rPr>
          <w:sz w:val="27"/>
          <w:sz w:val="27"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Előadás, gyakorlat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Irodalom: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Dr. Kazinczy László: Vasúttervezés (jegyzet) BME Budapest, 2006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Dr. Megyeri Jenő: Vasúti mozgásgeometria, 1986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Dr. Kerkápoly Endre: Vasútépítéstan III., 2002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Dr. Megyeri Jenő: Vasútépítéstan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Országos Közforgalmú Vasutak Pályatervezési Szabályzata, 1983</w:t>
        <w:br/>
        <w:t>MSZ 11306, MSZ 11316 szabványok</w:t>
        <w:br/>
        <w:t>UT 2-1.225 útügyi műszaki előírás,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D.11, D.12/H, D.54 MÁV utasítások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Követelmények a szorgalmi időszakban:</w:t>
      </w:r>
      <w:r/>
    </w:p>
    <w:p>
      <w:pPr>
        <w:pStyle w:val="Norml"/>
        <w:tabs>
          <w:tab w:val="center" w:pos="7088" w:leader="none"/>
        </w:tabs>
        <w:jc w:val="both"/>
        <w:rPr>
          <w:szCs w:val="24"/>
        </w:rPr>
      </w:pPr>
      <w:r>
        <w:rPr>
          <w:szCs w:val="24"/>
        </w:rPr>
        <w:t>Az órák látogatása (az előadások látogatása nem kötelező), a távolmaradás a szakirodalom tanulmányozásával, konzultációval pótolható</w:t>
      </w:r>
      <w:r/>
    </w:p>
    <w:p>
      <w:pPr>
        <w:pStyle w:val="Norml"/>
        <w:tabs>
          <w:tab w:val="left" w:pos="2600" w:leader="none"/>
          <w:tab w:val="center" w:pos="7088" w:leader="none"/>
        </w:tabs>
        <w:jc w:val="both"/>
      </w:pPr>
      <w:r>
        <w:rPr>
          <w:szCs w:val="24"/>
        </w:rPr>
        <w:t xml:space="preserve">1 db összetett házi tervezési feladat és </w:t>
      </w:r>
      <w:r>
        <w:rPr>
          <w:rFonts w:cs="Times New Roman"/>
          <w:sz w:val="24"/>
          <w:szCs w:val="24"/>
        </w:rPr>
        <w:t>1 db zárthelyi dolgozat eredményes (min. 51%) teljesítése a vizsgára bocsátás feltétele. A zárthelyi dolgozat eredménye az érdemjegybe nem számít bele.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  <w:r/>
    </w:p>
    <w:p>
      <w:pPr>
        <w:pStyle w:val="Normal"/>
        <w:spacing w:lineRule="atLeast" w:line="100" w:before="280" w:after="28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 vizsga eredményes teljesítése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Pótlások:</w:t>
      </w:r>
      <w:r/>
    </w:p>
    <w:p>
      <w:pPr>
        <w:pStyle w:val="Normal"/>
        <w:spacing w:lineRule="atLeast" w:line="100" w:before="280" w:after="280"/>
        <w:rPr>
          <w:sz w:val="24"/>
          <w:sz w:val="24"/>
          <w:szCs w:val="24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hu-HU"/>
        </w:rPr>
        <w:t>A tervezési feladat és a zárthelyi dolgozat javítható, a vizsga sikertelenség esetén ismételhető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  <w:r/>
    </w:p>
    <w:p>
      <w:pPr>
        <w:pStyle w:val="Normal"/>
        <w:spacing w:lineRule="atLeast" w:line="100" w:before="280" w:after="280"/>
        <w:jc w:val="both"/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1 db összetett tervezési feladat: nyíltvonal korszerűsítése (korrekció), kisméretű állomás korszerűsítése engedélyezési terv szinten. A feladat a félév során megoldandó és beadandó. Az esetleges hibás feladat javítható és újra beadható. Órai gyakorlat: pályafenntartási tervezési példák. 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Vizsga jellege (szóbeli, írásbeli, vagy mindkettő):</w:t>
      </w:r>
      <w:r/>
    </w:p>
    <w:p>
      <w:pPr>
        <w:pStyle w:val="Normal"/>
        <w:spacing w:lineRule="atLeast" w:line="100" w:before="280" w:after="280"/>
        <w:rPr>
          <w:sz w:val="27"/>
          <w:sz w:val="27"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A vizsga két részből áll. Írásbeli vizsga (egyszerűbb tervezési feladat: ívszámítás, vágánykapcsolat, stb.) és szóbeli vizsga.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Érdemjegy kialakítása:</w:t>
      </w:r>
      <w:r/>
    </w:p>
    <w:p>
      <w:pPr>
        <w:pStyle w:val="Normal"/>
        <w:spacing w:lineRule="atLeast" w:line="100" w:before="280" w:after="0"/>
        <w:jc w:val="both"/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Az összesített értékelés: 50% házi (tervezési) feladat + 50 % vizsga. Elérhető maximális pontszám: tervezési feladat 50 pont, vizsga 50 pont. Minimális pontszám: 26, illetve 26 pont. A tervezési feladat legalább 75%-os kidolgozottság és 51%-os értékelés esetén megfelelő, ez felel meg a minimális pontszámnak. A vizsga összesített pontszáma (max. 100 pont) a következő ponthatárok szerint kerül minősítésre: 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 xml:space="preserve">  0 – 50</w:t>
        <w:tab/>
        <w:t>elégtelen (1)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>51 – 65</w:t>
        <w:tab/>
        <w:t>elégséges (2)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>66 – 80</w:t>
        <w:tab/>
        <w:t>közepes (3)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>81 – 90</w:t>
        <w:tab/>
        <w:t>jó (4)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>91 – 100</w:t>
        <w:tab/>
        <w:t>jeles (5)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Program (előadás):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1. hét</w:t>
        <w:tab/>
        <w:tab/>
        <w:t>Vasúti pályageometria – vízszintes vonalvezetés (menetdinamika, alapelemek)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2. hét</w:t>
        <w:tab/>
        <w:tab/>
        <w:t xml:space="preserve">Vasúti pályageometria – vízszintes vonalvezetés (körívek, kosárívek, ellenívek, </w:t>
        <w:tab/>
        <w:t>átmetiívek, fő- és részletpont-kitűzés)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3. hét</w:t>
        <w:tab/>
        <w:tab/>
        <w:t>Vasúti pályageometria – magassági vonalvezetés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4. hét</w:t>
        <w:tab/>
        <w:tab/>
        <w:t xml:space="preserve">Vasútvonalak tervezése és korszerűsítése – vasútvonalak nyomozása, </w:t>
        <w:tab/>
        <w:t>próbahelyszínrajz, próbahossz-szelvény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5. hét</w:t>
        <w:tab/>
        <w:tab/>
        <w:t xml:space="preserve">Vasútvonalak tervezése és korszerűsítése – műtárgyak, útátjárók, védművek, </w:t>
        <w:tab/>
        <w:t>környezetvédelem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6. hét</w:t>
        <w:tab/>
        <w:tab/>
        <w:t xml:space="preserve">Vasútvonalak tervezése és korszerűsítése – a vasútépítési tervekkel szemben támasztott </w:t>
        <w:tab/>
        <w:t>tartalmi és formai követelmények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7. hét</w:t>
        <w:tab/>
        <w:tab/>
        <w:t>Vasútvonalak tervezése és korszerűsítése – a vasútvonalak korszerűsítése, vasútforgalmi és üzemi ismeretek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8. hét</w:t>
        <w:tab/>
        <w:tab/>
      </w:r>
      <w:bookmarkStart w:id="1" w:name="__DdeLink__207_1068081814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Oktatási szünet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9. hét</w:t>
        <w:tab/>
        <w:tab/>
        <w:t>Kitérők, átszelések, átszelési kitérők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10. hét</w:t>
        <w:tab/>
        <w:t>Vágánykapcsolások – szabványos vágánykapcsolások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11. hét</w:t>
        <w:tab/>
        <w:t>Vágánykapcsolások – egyedi vágánykapcsolások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12. hét Állomások és pályaudvarok tervezése – alapfogalmak, típusok, nyíltvonali szolgálati helyek helyszínrajzi kialakítása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13. hét Állomások és pályaudvarok tervezése – állomások helyszínrajzi kialakítása, áru- és személyforgalmi létesítmények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14. hét A vasúti pályafenntartási tevékenység (vágány- és kitérőszabályozás, ágyazatrostálás) pályatervezési feladatai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15. hét A számítógépes vasúttervezés alapjai I.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Program (gyakorlat):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1. hét</w:t>
        <w:tab/>
        <w:t xml:space="preserve">Vasútvonal és vasútállomás korszerűsítése – tervezési feladat ismertetése, kiadása 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2. hét </w:t>
        <w:tab/>
        <w:t>Tanulmányterv, átnézeti helyszínrajz készítése (nyomozás, korrekciók)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3. hét</w:t>
        <w:tab/>
        <w:t>Mintakeresztszelvények, műtárgyak keresztezések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4. hét </w:t>
        <w:tab/>
        <w:t>Műszaki leírás, elkészítendő tervek, tartalmi és formai követelmények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5. hét </w:t>
        <w:tab/>
        <w:t>Geometriai tervezés, Korrekció számítás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6. hét </w:t>
        <w:tab/>
        <w:t>Helyszínrajz készítésének ismertetése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7. hét </w:t>
        <w:tab/>
        <w:t>Hossz-szelvény készítésének ismertetése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8. hét</w:t>
        <w:tab/>
        <w:t>Oktatási szünet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9. hét </w:t>
        <w:tab/>
        <w:t>Keresztszelvények és műszaki leírás készítésének ismertetése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10. hét Állomás korszerűsítés, fejlesztés tervezésének ismertetése (vágánykacsolatok)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11. hét Személy- és áruforgalmi létesítmények kialakítása, helyszínrajzi elrendezése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12. hét Kitűzési terv elkészítése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13. hét</w:t>
        <w:tab/>
        <w:t>Műszaki leírás elkészítése</w:t>
      </w:r>
      <w:r/>
    </w:p>
    <w:p>
      <w:pPr>
        <w:pStyle w:val="Normal"/>
        <w:spacing w:lineRule="atLeast" w:line="10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14. hét Vasúti pályafenntartási tervezési feladat</w:t>
      </w:r>
      <w:r/>
    </w:p>
    <w:p>
      <w:pPr>
        <w:pStyle w:val="Normal"/>
        <w:spacing w:lineRule="atLeast" w:line="100" w:before="0" w:after="0"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15. hét Zárthelyi dolgozat</w:t>
        <w:br/>
      </w:r>
      <w:r/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hu-HU" w:eastAsia="en-US" w:bidi="ar-SA"/>
    </w:rPr>
  </w:style>
  <w:style w:type="paragraph" w:styleId="Cmsor2">
    <w:name w:val="Címsor 2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Címsor 3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DefaultParagraphFont">
    <w:name w:val="Default Paragraph Font"/>
    <w:rPr/>
  </w:style>
  <w:style w:type="character" w:styleId="Cmsor2Char">
    <w:name w:val="Címsor 2 Char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>
    <w:name w:val="Címsor 3 Char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Ajax">
    <w:name w:val="ajax"/>
    <w:basedOn w:val="DefaultParagraphFont"/>
    <w:rPr/>
  </w:style>
  <w:style w:type="character" w:styleId="Internethivatkozs">
    <w:name w:val="Internet-hivatkozás"/>
    <w:basedOn w:val="DefaultParagraphFont"/>
    <w:rPr>
      <w:color w:val="0000FF"/>
      <w:u w:val="single"/>
      <w:lang w:val="zxx-" w:eastAsia="zxx-" w:bidi="zxx-"/>
    </w:rPr>
  </w:style>
  <w:style w:type="character" w:styleId="SzvegtrzsChar">
    <w:name w:val="Szövegtörzs Char"/>
    <w:basedOn w:val="DefaultParagraphFont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istLabel1">
    <w:name w:val="ListLabel 1"/>
    <w:rPr>
      <w:sz w:val="20"/>
    </w:rPr>
  </w:style>
  <w:style w:type="character" w:styleId="WW8Num1z0">
    <w:name w:val="WW8Num1z0"/>
    <w:rPr>
      <w:rFonts w:ascii="Times New Roman" w:hAnsi="Times New Roman" w:cs="Times New Roman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Verdana" w:hAnsi="Verdana" w:cs="Verdana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>
      <w:rFonts w:ascii="Verdana" w:hAnsi="Verdana" w:cs="Verdana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WW8Num4z0">
    <w:name w:val="WW8Num4z0"/>
    <w:rPr>
      <w:rFonts w:cs="Times New Roman"/>
      <w:u w:val="none"/>
    </w:rPr>
  </w:style>
  <w:style w:type="character" w:styleId="WW8Num4z1">
    <w:name w:val="WW8Num4z1"/>
    <w:rPr>
      <w:rFonts w:cs="Times New Roman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rFonts w:cs="Verdana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u w:val="none"/>
    </w:rPr>
  </w:style>
  <w:style w:type="character" w:styleId="Felsorolsjel">
    <w:name w:val="Felsorolásjel"/>
    <w:rPr>
      <w:rFonts w:ascii="OpenSymbol" w:hAnsi="OpenSymbol" w:eastAsia="OpenSymbol" w:cs="OpenSymbol"/>
    </w:rPr>
  </w:style>
  <w:style w:type="character" w:styleId="ListLabel11">
    <w:name w:val="ListLabel 11"/>
    <w:rPr>
      <w:rFonts w:cs="Symbol"/>
      <w:sz w:val="20"/>
    </w:rPr>
  </w:style>
  <w:style w:type="character" w:styleId="ListLabel12">
    <w:name w:val="ListLabel 12"/>
    <w:rPr>
      <w:rFonts w:cs="Courier New"/>
      <w:sz w:val="20"/>
    </w:rPr>
  </w:style>
  <w:style w:type="character" w:styleId="ListLabel13">
    <w:name w:val="ListLabel 13"/>
    <w:rPr>
      <w:rFonts w:cs="Wingdings"/>
      <w:sz w:val="20"/>
    </w:rPr>
  </w:style>
  <w:style w:type="character" w:styleId="ListLabel14">
    <w:name w:val="ListLabel 14"/>
    <w:rPr>
      <w:rFonts w:cs="Symbol"/>
      <w:sz w:val="20"/>
    </w:rPr>
  </w:style>
  <w:style w:type="character" w:styleId="ListLabel15">
    <w:name w:val="ListLabel 15"/>
    <w:rPr>
      <w:rFonts w:cs="Courier New"/>
      <w:sz w:val="20"/>
    </w:rPr>
  </w:style>
  <w:style w:type="character" w:styleId="ListLabel16">
    <w:name w:val="ListLabel 16"/>
    <w:rPr>
      <w:rFonts w:cs="Wingdings"/>
      <w:sz w:val="20"/>
    </w:rPr>
  </w:style>
  <w:style w:type="character" w:styleId="ListLabel17">
    <w:name w:val="ListLabel 17"/>
    <w:rPr>
      <w:rFonts w:cs="Symbol"/>
      <w:sz w:val="20"/>
    </w:rPr>
  </w:style>
  <w:style w:type="character" w:styleId="ListLabel18">
    <w:name w:val="ListLabel 18"/>
    <w:rPr>
      <w:rFonts w:cs="Courier New"/>
      <w:sz w:val="20"/>
    </w:rPr>
  </w:style>
  <w:style w:type="character" w:styleId="ListLabel19">
    <w:name w:val="ListLabel 19"/>
    <w:rPr>
      <w:rFonts w:cs="Wingdings"/>
      <w:sz w:val="20"/>
    </w:rPr>
  </w:style>
  <w:style w:type="character" w:styleId="ListLabel20">
    <w:name w:val="ListLabel 20"/>
    <w:rPr>
      <w:rFonts w:cs="Symbol"/>
      <w:sz w:val="20"/>
    </w:rPr>
  </w:style>
  <w:style w:type="character" w:styleId="ListLabel21">
    <w:name w:val="ListLabel 21"/>
    <w:rPr>
      <w:rFonts w:cs="Courier New"/>
      <w:sz w:val="20"/>
    </w:rPr>
  </w:style>
  <w:style w:type="character" w:styleId="ListLabel22">
    <w:name w:val="ListLabel 22"/>
    <w:rPr>
      <w:rFonts w:cs="Wingdings"/>
      <w:sz w:val="20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Szvegtrzs">
    <w:name w:val="Szövegtörzs"/>
    <w:basedOn w:val="Normal"/>
    <w:pPr>
      <w:spacing w:lineRule="atLeast" w:line="100" w:before="0" w:after="0"/>
    </w:pPr>
    <w:rPr>
      <w:rFonts w:ascii="Times New Roman" w:hAnsi="Times New Roman" w:eastAsia="Times New Roman" w:cs="Times New Roman"/>
      <w:sz w:val="20"/>
      <w:szCs w:val="20"/>
      <w:lang w:eastAsia="hu-HU"/>
    </w:rPr>
  </w:style>
  <w:style w:type="paragraph" w:styleId="Lista">
    <w:name w:val="Lista"/>
    <w:basedOn w:val="Szvegtrzs"/>
    <w:pPr/>
    <w:rPr>
      <w:rFonts w:ascii="Arial" w:hAnsi="Arial" w:cs="Lohit Hindi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ascii="Arial" w:hAnsi="Arial" w:cs="Lohit Hindi"/>
    </w:rPr>
  </w:style>
  <w:style w:type="paragraph" w:styleId="NormalWeb">
    <w:name w:val="Normal (Web)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Ajax1">
    <w:name w:val="ajax1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Norml">
    <w:name w:val="Norm‡l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hu-HU" w:eastAsia="hu-H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LibreOffice/4.3.0.4$Linux_X86_64 LibreOffice_project/430m0$Build-4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2014-02-24T13:10:00Z</dcterms:created>
  <dc:creator>Enviro</dc:creator>
  <dc:language>hu-HU</dc:language>
  <cp:lastModifiedBy>Zoli </cp:lastModifiedBy>
  <dcterms:modified xsi:type="dcterms:W3CDTF">2014-09-08T10:49:08Z</dcterms:modified>
  <cp:revision>8</cp:revision>
</cp:coreProperties>
</file>