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  <w:rPr>
          <w:b/>
          <w:sz w:val="20"/>
        </w:rPr>
      </w:pPr>
      <w:r>
        <w:rPr>
          <w:b/>
          <w:sz w:val="20"/>
        </w:rPr>
        <w:t>2014-15 őszi szemeszter Digitális prezentációs ismeretek 1.</w:t>
      </w:r>
    </w:p>
    <w:p>
      <w:pPr>
        <w:pStyle w:val="style0"/>
        <w:spacing w:after="0" w:before="0" w:line="100" w:lineRule="atLeast"/>
        <w:contextualSpacing w:val="false"/>
        <w:jc w:val="right"/>
        <w:rPr>
          <w:b/>
          <w:sz w:val="20"/>
        </w:rPr>
      </w:pPr>
      <w:r>
        <w:rPr>
          <w:b/>
          <w:sz w:val="20"/>
        </w:rPr>
        <w:t>Építőművész MA, Belsőépítész MA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b/>
          <w:sz w:val="20"/>
        </w:rPr>
        <w:t xml:space="preserve">Kód: </w:t>
      </w:r>
      <w:bookmarkStart w:id="0" w:name="__DdeLink__2960_483753266"/>
      <w:bookmarkEnd w:id="0"/>
      <w:r>
        <w:rPr>
          <w:sz w:val="20"/>
        </w:rPr>
        <w:t>PMTTENM028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b/>
          <w:sz w:val="20"/>
        </w:rPr>
        <w:t>Szemeszter:</w:t>
      </w:r>
      <w:r>
        <w:rPr>
          <w:sz w:val="20"/>
        </w:rPr>
        <w:t xml:space="preserve"> 1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b/>
          <w:sz w:val="20"/>
        </w:rPr>
        <w:t>Kreditszám:</w:t>
      </w:r>
      <w:r>
        <w:rPr>
          <w:sz w:val="20"/>
        </w:rPr>
        <w:t xml:space="preserve"> 3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b/>
          <w:sz w:val="20"/>
        </w:rPr>
        <w:t>Órák száma (ea/gy/lab):</w:t>
      </w:r>
      <w:r>
        <w:rPr>
          <w:sz w:val="20"/>
        </w:rPr>
        <w:t xml:space="preserve"> 0/0/2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b/>
          <w:sz w:val="20"/>
        </w:rPr>
        <w:t>Számonkérés módja:</w:t>
      </w:r>
      <w:r>
        <w:rPr>
          <w:sz w:val="20"/>
        </w:rPr>
        <w:t xml:space="preserve"> félévközi jegy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b/>
          <w:sz w:val="20"/>
        </w:rPr>
        <w:t xml:space="preserve">Előfeltételek: </w:t>
      </w:r>
      <w:r>
        <w:rPr>
          <w:sz w:val="20"/>
        </w:rPr>
        <w:t>-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b/>
          <w:sz w:val="20"/>
        </w:rPr>
        <w:t>Tantárgy felelős:</w:t>
      </w:r>
      <w:r>
        <w:rPr>
          <w:sz w:val="20"/>
        </w:rPr>
        <w:t xml:space="preserve"> Rétfalvi Donát dr.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b/>
          <w:sz w:val="20"/>
        </w:rPr>
        <w:t>Tantárgy koordinátor:</w:t>
      </w:r>
      <w:r>
        <w:rPr>
          <w:sz w:val="20"/>
        </w:rPr>
        <w:t xml:space="preserve"> Rétfalvi Donát dr.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  <w:sz w:val="20"/>
        </w:rPr>
      </w:pPr>
      <w:r>
        <w:rPr>
          <w:b/>
          <w:sz w:val="20"/>
        </w:rPr>
        <w:t>Tantárgy rövid leírása: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A tantárgy a publikálás fogalmán keresztül vizsgálja a manuális és digitális prezentáció lehetőségeit a mérnöki tudomány területén. Ezen lehetőségek rendszerbe foglalása, valamint prezentációs technikák, eljárások megismertetése, melyek  a későbbiekben kreatív módon alkalmazhatóak a különböző szakterületeken.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Bevezetés a hagyományos prezentációs lehetőségek és napjaink sokszínű informatikai lehetőségeivel támogatott prezentációs technikák összekapcsolásának világába. A megismert új szemléletmódok és technológiák alkalmazása a szakmagyakorlás során.</w:t>
      </w:r>
    </w:p>
    <w:p>
      <w:pPr>
        <w:pStyle w:val="style0"/>
        <w:spacing w:after="0" w:before="0"/>
        <w:contextualSpacing w:val="false"/>
        <w:rPr/>
      </w:pPr>
      <w:r>
        <w:fldChar w:fldCharType="begin"/>
      </w:r>
      <w:r>
        <w:instrText> HYPERLINK "http://pmmik.pte.hu/kepzes/593/tantargyak/" \l "foo"</w:instrText>
      </w:r>
      <w:r>
        <w:fldChar w:fldCharType="separate"/>
      </w:r>
      <w:r>
        <w:rPr/>
      </w:r>
      <w:r>
        <w:fldChar w:fldCharType="end"/>
      </w:r>
    </w:p>
    <w:p>
      <w:pPr>
        <w:pStyle w:val="style0"/>
        <w:spacing w:after="0" w:before="0"/>
        <w:contextualSpacing w:val="false"/>
        <w:rPr>
          <w:b/>
          <w:sz w:val="20"/>
        </w:rPr>
      </w:pPr>
      <w:r>
        <w:rPr>
          <w:b/>
          <w:sz w:val="20"/>
        </w:rPr>
        <w:t>Tantárgy célja: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A kurzus célja, hogy a hallgatók képessé váljanak szakmai munkásságuk önálló menedzselésére, prezentálására kreatív módon különböző média platformokon.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b/>
          <w:sz w:val="20"/>
        </w:rPr>
      </w:pPr>
      <w:r>
        <w:rPr>
          <w:b/>
          <w:sz w:val="20"/>
        </w:rPr>
        <w:t>Tantárgy oktatási módszere: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 xml:space="preserve">Mivel az informatika az egyik legdinamikusabban fejlődő tudomány, az oktatásnak nem a statikus ismeretek oktatására kell koncentrálnia,hanem a dinamikus folyamatok megértésére kell felkészíteni a diákokat. Nem az a cél, hogy adott szoftverek használatát tanítsuk meg a tanulóknak, hanem hogy adott tevékenységek manuális és digitális technikák ötvözésével történő megoldásának lehetőségére készítsük fel őket. A hallgatók a szemeszter során többféle technikával készítenek prezentációs anyagokat, ahol szerepet kap az individualizmus, a kreativitás, a technológia, az esztétika és várhatóan képet kapunk ezek fejlődési folyamatáról. 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A hallgatók a labor során on- és offline, opensource programokkal ismerkednek meg, és dolgoznak. Az alkalmazások inspirálta kreatív elképzeléseket az oktatás irányítójával közösen vitatják meg, és a döntések alapján dolgozzák ki a projektjeiket. A félév végére a hallgatók képessé vállnak szakmai munkásságuk önálló menedzselésére, prezentálására különböző médiaplatformokon.</w:t>
      </w:r>
    </w:p>
    <w:p>
      <w:pPr>
        <w:pStyle w:val="style3"/>
        <w:spacing w:after="0" w:before="160"/>
        <w:contextualSpacing w:val="false"/>
        <w:rPr>
          <w:rFonts w:ascii="Arial" w:cs="Arial" w:eastAsia="Arial" w:hAnsi="Arial"/>
          <w:color w:val="000000"/>
          <w:sz w:val="20"/>
        </w:rPr>
      </w:pPr>
      <w:bookmarkStart w:id="1" w:name="h.bd8ww6sr3ni9"/>
      <w:bookmarkEnd w:id="1"/>
      <w:r>
        <w:rPr>
          <w:rFonts w:ascii="Arial" w:cs="Arial" w:eastAsia="Arial" w:hAnsi="Arial"/>
          <w:color w:val="000000"/>
          <w:sz w:val="20"/>
        </w:rPr>
        <w:t>Irodalom: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Ajánlott irodalom: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 xml:space="preserve">DANIEL, James (2009). Crafting Digital Media: Audacity, Blender, Drupal, GIMP, Scribus, and other Open Source Tools (Expert's Voice in Open Source), New York, USA, Springer-Verlag AG, ISBN-10: 1430218878, ISBN-13: 978-1430218876 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Egyéb irodalom: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ALICE, Chen - GAMG, Chen (2010). Using Free Scribus Software to Create Professional Presentations: Book Covers, Magazine Covers, Graphic Designs, Posters, Newsletters, Renderings and More, ArchiteG, Inc, USA, ISBN-10: 0984374159, ISBN-13: 978-0984374151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 xml:space="preserve">KEVIN, Budelmann - YANG, Kim - CURT, Wozniak (2010). Brand Identity Essentials: 100 Principles for Designing Logos and Building Brands. Rockport Publishers, USA, ISBN-13: 978-1-59253-578-1 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CYNTHIA, L. Baron (2009). Designing a Digital Portfolio . New Riders, USA, ISBN-10: 0321637518, ISBN-13: 978-0321637512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MAURA, Keller (2010). Design Matters: Portfolios 01: An Essential Primer for Today's Competitive Market, Volume 1. USA, Rockport. ISBN-10: 1592536026, ISBN-13: 978-1592536023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JAMES, Caplin (2008). I Hate Presentations: Transform the way you present with a fresh and powerful approach. USA, Capstone. ISBN-10: 1841128090, ISBN-13: 978-1841128092</w:t>
      </w:r>
    </w:p>
    <w:p>
      <w:pPr>
        <w:pStyle w:val="style3"/>
        <w:spacing w:after="0" w:before="160"/>
        <w:contextualSpacing w:val="false"/>
        <w:rPr/>
      </w:pPr>
      <w:bookmarkStart w:id="2" w:name="h.8ewom8hm9dcc"/>
      <w:bookmarkStart w:id="3" w:name="h.8ewom8hm9dcc"/>
      <w:bookmarkEnd w:id="3"/>
      <w:r>
        <w:rPr/>
      </w:r>
    </w:p>
    <w:p>
      <w:pPr>
        <w:pStyle w:val="style3"/>
        <w:spacing w:after="0" w:before="160"/>
        <w:contextualSpacing w:val="false"/>
        <w:rPr/>
      </w:pPr>
      <w:bookmarkStart w:id="4" w:name="h.jcbfe3o6nbk0"/>
      <w:bookmarkStart w:id="5" w:name="h.jcbfe3o6nbk0"/>
      <w:bookmarkEnd w:id="5"/>
      <w:r>
        <w:rPr/>
      </w:r>
    </w:p>
    <w:p>
      <w:pPr>
        <w:pStyle w:val="style3"/>
        <w:spacing w:after="0" w:before="160"/>
        <w:contextualSpacing w:val="false"/>
        <w:rPr>
          <w:rFonts w:ascii="Arial" w:cs="Arial" w:eastAsia="Arial" w:hAnsi="Arial"/>
          <w:color w:val="000000"/>
          <w:sz w:val="20"/>
        </w:rPr>
      </w:pPr>
      <w:bookmarkStart w:id="6" w:name="h.p3sj3dukach9"/>
      <w:bookmarkEnd w:id="6"/>
      <w:r>
        <w:rPr>
          <w:rFonts w:ascii="Arial" w:cs="Arial" w:eastAsia="Arial" w:hAnsi="Arial"/>
          <w:color w:val="000000"/>
          <w:sz w:val="20"/>
        </w:rPr>
        <w:t>Általános követelmények:</w:t>
      </w:r>
    </w:p>
    <w:p>
      <w:pPr>
        <w:pStyle w:val="style0"/>
        <w:spacing w:after="0" w:before="0"/>
        <w:contextualSpacing w:val="false"/>
        <w:jc w:val="both"/>
        <w:rPr>
          <w:sz w:val="20"/>
        </w:rPr>
      </w:pPr>
      <w:r>
        <w:rPr>
          <w:sz w:val="20"/>
        </w:rPr>
        <w:t>a.) Követelmények a szorgalmi időszakban:</w:t>
      </w:r>
    </w:p>
    <w:p>
      <w:pPr>
        <w:pStyle w:val="style0"/>
        <w:spacing w:after="0" w:before="0"/>
        <w:contextualSpacing w:val="false"/>
        <w:jc w:val="both"/>
        <w:rPr>
          <w:sz w:val="20"/>
        </w:rPr>
      </w:pPr>
      <w:r>
        <w:rPr>
          <w:sz w:val="20"/>
        </w:rPr>
        <w:t>A tantárgy felvétele az ETR-ben, amennyiben az előfeltételek maradéktalanul teljesítettek!</w:t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both"/>
        <w:rPr>
          <w:sz w:val="20"/>
        </w:rPr>
      </w:pPr>
      <w:r>
        <w:rPr>
          <w:sz w:val="20"/>
        </w:rPr>
        <w:t xml:space="preserve">b.) A félévzárás módja, feltétele: </w:t>
      </w:r>
    </w:p>
    <w:p>
      <w:pPr>
        <w:pStyle w:val="style0"/>
        <w:spacing w:after="0" w:before="0"/>
        <w:contextualSpacing w:val="false"/>
        <w:jc w:val="both"/>
        <w:rPr>
          <w:sz w:val="20"/>
        </w:rPr>
      </w:pPr>
      <w:r>
        <w:rPr>
          <w:sz w:val="20"/>
        </w:rPr>
        <w:t>- Az előadásokon, valamint gyakorlati foglalkozásokon való, a kreditrendszerű TVSZ előírása szerinti részvétel.  A félév során a hiányzás elfogadható mértéke az órák 30%-a.</w:t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ind w:firstLine="720" w:left="0" w:right="0"/>
        <w:contextualSpacing w:val="false"/>
        <w:jc w:val="both"/>
        <w:rPr>
          <w:i/>
          <w:sz w:val="16"/>
        </w:rPr>
      </w:pPr>
      <w:r>
        <w:rPr>
          <w:i/>
          <w:sz w:val="16"/>
        </w:rPr>
        <w:t>(PTE TVSZ.10/45.§(2)</w:t>
      </w:r>
      <w:r>
        <w:rPr>
          <w:i/>
          <w:sz w:val="16"/>
          <w:vertAlign w:val="superscript"/>
        </w:rPr>
        <w:t>189</w:t>
      </w:r>
      <w:r>
        <w:rPr>
          <w:i/>
          <w:sz w:val="16"/>
        </w:rPr>
        <w:t xml:space="preserve"> A felvett kurzusok foglalkozásain a részvétel hallgatói kötelezettség. A hallgató számára az adott tantárgyból érdemjegy, minősítés szerzése, illetve félévvégi aláírás csak abban az esetben tagadható meg hiányzás miatt, ha a megtartott foglalkozásoknak a tantárgy meghirdetésekor megszabott hányadát meghaladóan hiányzott. Ebben az esetben a tanulmányi nyilvántartásban a nem teljesítette bejegyzés szerepel. A szakfelelős a hiányzás elfogadható mértékét az összes órák 15-30 %-ában állapíthatja meg a tantárgy meghirdetésekor.)</w:t>
      </w:r>
    </w:p>
    <w:p>
      <w:pPr>
        <w:pStyle w:val="style0"/>
        <w:spacing w:after="0" w:before="0"/>
        <w:ind w:firstLine="720" w:left="0" w:right="0"/>
        <w:contextualSpacing w:val="false"/>
        <w:jc w:val="both"/>
        <w:rPr>
          <w:i/>
          <w:sz w:val="16"/>
        </w:rPr>
      </w:pPr>
      <w:r>
        <w:rPr>
          <w:i/>
          <w:sz w:val="16"/>
        </w:rPr>
        <w:t>(PTE TVSZ 2.sz.melléklet 1/A. §</w:t>
      </w:r>
      <w:r>
        <w:rPr>
          <w:i/>
          <w:sz w:val="16"/>
          <w:vertAlign w:val="superscript"/>
        </w:rPr>
        <w:t>325</w:t>
      </w:r>
      <w:r>
        <w:rPr>
          <w:i/>
          <w:sz w:val="16"/>
        </w:rPr>
        <w:t>(5) Az előadásokon a létszámellenőrzés módszerét a tantárgyfelelős határozza meg.)</w:t>
      </w:r>
    </w:p>
    <w:p>
      <w:pPr>
        <w:pStyle w:val="style0"/>
        <w:spacing w:after="0" w:before="0"/>
        <w:ind w:firstLine="720" w:left="0" w:right="0"/>
        <w:contextualSpacing w:val="false"/>
        <w:jc w:val="both"/>
        <w:rPr>
          <w:i/>
          <w:sz w:val="16"/>
        </w:rPr>
      </w:pPr>
      <w:r>
        <w:rPr>
          <w:i/>
          <w:sz w:val="16"/>
        </w:rPr>
        <w:t>(PTE TVSZ 2.sz.melléklet 1/A. §</w:t>
      </w:r>
      <w:r>
        <w:rPr>
          <w:i/>
          <w:sz w:val="16"/>
          <w:vertAlign w:val="superscript"/>
        </w:rPr>
        <w:t>325</w:t>
      </w:r>
      <w:r>
        <w:rPr>
          <w:i/>
          <w:sz w:val="16"/>
        </w:rPr>
        <w:t>(6) A hiányzások elfogadásának szabályai:</w:t>
      </w:r>
    </w:p>
    <w:p>
      <w:pPr>
        <w:pStyle w:val="style0"/>
        <w:spacing w:after="0" w:before="0"/>
        <w:contextualSpacing w:val="false"/>
        <w:jc w:val="both"/>
        <w:rPr>
          <w:i/>
          <w:sz w:val="16"/>
        </w:rPr>
      </w:pPr>
      <w:r>
        <w:rPr>
          <w:i/>
          <w:sz w:val="16"/>
        </w:rPr>
        <w:t>a) az a hallgató, aki a tantárgy foglalkozásainak kevesebb, mint 15 %-áról hiányzott, hiányzás miatt nem marasztalható el.</w:t>
      </w:r>
    </w:p>
    <w:p>
      <w:pPr>
        <w:pStyle w:val="style0"/>
        <w:spacing w:after="0" w:before="0"/>
        <w:contextualSpacing w:val="false"/>
        <w:jc w:val="both"/>
        <w:rPr>
          <w:i/>
          <w:sz w:val="16"/>
        </w:rPr>
      </w:pPr>
      <w:r>
        <w:rPr>
          <w:i/>
          <w:sz w:val="16"/>
        </w:rPr>
        <w:t>b)</w:t>
      </w:r>
      <w:r>
        <w:rPr>
          <w:i/>
          <w:sz w:val="16"/>
          <w:vertAlign w:val="superscript"/>
        </w:rPr>
        <w:t>327</w:t>
      </w:r>
      <w:r>
        <w:rPr>
          <w:i/>
          <w:sz w:val="16"/>
        </w:rPr>
        <w:t xml:space="preserve"> akinek hiányzása 15 és 25 % között volt (bármely okból), a tantárgyfelelős a félév elfogadását az egyedi eset kivizsgálásával dönti el.</w:t>
      </w:r>
    </w:p>
    <w:p>
      <w:pPr>
        <w:pStyle w:val="style0"/>
        <w:spacing w:after="0" w:before="0"/>
        <w:contextualSpacing w:val="false"/>
        <w:jc w:val="both"/>
        <w:rPr>
          <w:i/>
          <w:sz w:val="16"/>
        </w:rPr>
      </w:pPr>
      <w:r>
        <w:rPr>
          <w:i/>
          <w:sz w:val="16"/>
        </w:rPr>
        <w:t>c) akinek hiányzása eléri a 25 %-ot (bármely okból, igazoltan vagy a nélkül), vizsgára nem bocsátható.)</w:t>
      </w:r>
    </w:p>
    <w:p>
      <w:pPr>
        <w:pStyle w:val="style0"/>
        <w:spacing w:after="0" w:before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both"/>
        <w:rPr>
          <w:sz w:val="20"/>
        </w:rPr>
      </w:pPr>
      <w:r>
        <w:rPr>
          <w:sz w:val="20"/>
        </w:rPr>
        <w:t>- A félév során kiadott feladatok maradéktalan teljesítése</w:t>
      </w:r>
    </w:p>
    <w:p>
      <w:pPr>
        <w:pStyle w:val="style0"/>
        <w:spacing w:after="0" w:before="0"/>
        <w:contextualSpacing w:val="false"/>
        <w:jc w:val="both"/>
        <w:rPr>
          <w:sz w:val="20"/>
        </w:rPr>
      </w:pPr>
      <w:r>
        <w:rPr>
          <w:sz w:val="20"/>
        </w:rPr>
        <w:t>- A félév végén a kész projektet prezentálni kell szabadon választható alkalmazások segítségével. A féléves eredményt az elkészített feladatok tartalma, minősége befolyásolja. Az órákon való aktív részvétel és a feladatok határidőre történő leadása.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Értékelés rendszere: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részfeladatok és a féléves munka összességének értékelése ötfokozatú rendszerben.</w:t>
      </w:r>
    </w:p>
    <w:p>
      <w:pPr>
        <w:pStyle w:val="style3"/>
        <w:spacing w:after="0" w:before="160"/>
        <w:contextualSpacing w:val="false"/>
        <w:rPr>
          <w:rFonts w:ascii="Arial" w:cs="Arial" w:eastAsia="Arial" w:hAnsi="Arial"/>
          <w:color w:val="000000"/>
          <w:sz w:val="20"/>
        </w:rPr>
      </w:pPr>
      <w:bookmarkStart w:id="7" w:name="h.pgee9j65ft7p"/>
      <w:bookmarkEnd w:id="7"/>
      <w:r>
        <w:rPr>
          <w:rFonts w:ascii="Arial" w:cs="Arial" w:eastAsia="Arial" w:hAnsi="Arial"/>
          <w:color w:val="000000"/>
          <w:sz w:val="20"/>
        </w:rPr>
        <w:t>Program (előadás):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Előadások a laborokkal összevonva.</w:t>
      </w:r>
    </w:p>
    <w:p>
      <w:pPr>
        <w:pStyle w:val="style3"/>
        <w:spacing w:after="0" w:before="160"/>
        <w:contextualSpacing w:val="false"/>
        <w:rPr>
          <w:rFonts w:ascii="Arial" w:cs="Arial" w:eastAsia="Arial" w:hAnsi="Arial"/>
          <w:color w:val="000000"/>
          <w:sz w:val="20"/>
        </w:rPr>
      </w:pPr>
      <w:bookmarkStart w:id="8" w:name="h.fpyc84bebaj5"/>
      <w:bookmarkEnd w:id="8"/>
      <w:r>
        <w:rPr>
          <w:rFonts w:ascii="Arial" w:cs="Arial" w:eastAsia="Arial" w:hAnsi="Arial"/>
          <w:color w:val="000000"/>
          <w:sz w:val="20"/>
        </w:rPr>
        <w:t>Program (gyakorlat):</w:t>
      </w:r>
    </w:p>
    <w:p>
      <w:pPr>
        <w:pStyle w:val="style0"/>
        <w:spacing w:after="0" w:before="0"/>
        <w:contextualSpacing w:val="false"/>
        <w:rPr>
          <w:b/>
          <w:sz w:val="20"/>
        </w:rPr>
      </w:pPr>
      <w:r>
        <w:rPr>
          <w:b/>
          <w:sz w:val="20"/>
        </w:rPr>
        <w:t>L1-01 Minden héten szerdán 13.00-14.15 Rókus u. K-118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1. Bevezetés, bemutatkozás, alapismeretek, kérdőív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2. órai munka, hallgatói bemutatkozó anyag készítése manuálisan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3. CV készítés &gt; professional / non-professional or formal / informal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 xml:space="preserve">4. traditional presentation tools web-based / non-web-based, 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5. Microblog készítése &gt; online napló dokumentáció a féléves munkáról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6. Reklám plakát &gt; digital and printing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7. 2D graphic online-offline, pixel and vector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 xml:space="preserve">8. Branding: logo, kiadványok, csomagolás design, 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9. Órai munka &gt; branding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 xml:space="preserve">10. Tipográfia 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11. web html/cms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12. Portfolio, wix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13. Film, animáció, stop motion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14. Low Budget Office</w:t>
      </w:r>
    </w:p>
    <w:p>
      <w:pPr>
        <w:pStyle w:val="style0"/>
        <w:spacing w:after="0" w:before="0"/>
        <w:contextualSpacing w:val="false"/>
        <w:rPr>
          <w:sz w:val="20"/>
        </w:rPr>
      </w:pPr>
      <w:r>
        <w:rPr>
          <w:sz w:val="20"/>
        </w:rPr>
        <w:t>15. PRESENTATION</w:t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777" w:footer="720" w:gutter="0" w:header="0" w:left="567" w:right="567" w:top="567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</w:r>
    <w:pStyle w:val="style0"/>
    <w:top w:color="00000A" w:space="0" w:sz="4" w:val="single"/>
    <w:left w:val="nil"/>
    <w:bottom w:val="nil"/>
    <w:insideH w:val="nil"/>
    <w:right w:val="nil"/>
    <w:insideV w:val="nil"/>
    <w:pPr>
      <w:rPr/>
    </w:pPr>
  </w:p>
  <w:p>
    <w:pPr>
      <w:pStyle w:val="style0"/>
      <w:widowControl/>
      <w:spacing w:after="0" w:before="0"/>
      <w:contextualSpacing w:val="false"/>
      <w:jc w:val="right"/>
      <w:rPr>
        <w:color w:val="3C78D8"/>
        <w:sz w:val="16"/>
      </w:rPr>
    </w:pPr>
    <w:r>
      <w:rPr>
        <w:i/>
        <w:color w:val="999999"/>
        <w:sz w:val="18"/>
      </w:rPr>
      <w:t xml:space="preserve">- </w:t>
    </w:r>
    <w:r>
      <w:rPr>
        <w:i/>
        <w:color w:val="999999"/>
        <w:sz w:val="18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i/>
        <w:color w:val="999999"/>
        <w:sz w:val="18"/>
      </w:rPr>
      <w:t xml:space="preserve"> - </w:t>
    </w:r>
    <w:r>
      <w:rPr>
        <w:sz w:val="16"/>
      </w:rPr>
      <w:tab/>
      <w:tab/>
      <w:t>PTE PMMIK</w:t>
    </w:r>
    <w:r>
      <w:rPr>
        <w:color w:val="3C78D8"/>
        <w:sz w:val="16"/>
      </w:rPr>
      <w:t xml:space="preserve"> Építőművészeti és Vizuális Ismeretek Tanszék</w:t>
    </w:r>
  </w:p>
  <w:p>
    <w:pPr>
      <w:pStyle w:val="style0"/>
      <w:widowControl/>
      <w:spacing w:after="0" w:before="0"/>
      <w:ind w:firstLine="720" w:left="0" w:right="0"/>
      <w:contextualSpacing w:val="false"/>
      <w:jc w:val="right"/>
      <w:rPr>
        <w:sz w:val="16"/>
      </w:rPr>
    </w:pPr>
    <w:r>
      <w:rPr>
        <w:sz w:val="16"/>
      </w:rPr>
      <w:t>2014-15 őszi szemeszter Digitális prezentációs ismeretek 1.</w:t>
    </w:r>
  </w:p>
  <w:p>
    <w:pPr>
      <w:pStyle w:val="style0"/>
      <w:widowControl/>
      <w:spacing w:after="0" w:before="0"/>
      <w:ind w:firstLine="720" w:left="0" w:right="0"/>
      <w:contextualSpacing w:val="false"/>
      <w:jc w:val="right"/>
      <w:rPr>
        <w:sz w:val="16"/>
      </w:rPr>
    </w:pPr>
    <w:r>
      <w:rPr>
        <w:sz w:val="16"/>
      </w:rPr>
      <w:t>dr.Rétfalvi Donát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keepNext/>
      <w:keepLines w:val="false"/>
      <w:widowControl w:val="false"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bidi="hi-IN" w:eastAsia="zh-CN" w:val="hu-HU"/>
    </w:rPr>
  </w:style>
  <w:style w:styleId="style1" w:type="paragraph">
    <w:name w:val="Címsor 1"/>
    <w:basedOn w:val="style21"/>
    <w:next w:val="style1"/>
    <w:pPr>
      <w:keepNext/>
      <w:keepLines w:val="false"/>
      <w:widowControl w:val="false"/>
      <w:spacing w:after="0" w:before="200" w:line="100" w:lineRule="atLeast"/>
      <w:contextualSpacing/>
    </w:pPr>
    <w:rPr>
      <w:rFonts w:ascii="Trebuchet MS" w:cs="Trebuchet MS" w:eastAsia="Trebuchet MS" w:hAnsi="Trebuchet MS"/>
      <w:sz w:val="32"/>
    </w:rPr>
  </w:style>
  <w:style w:styleId="style2" w:type="paragraph">
    <w:name w:val="Címsor 2"/>
    <w:basedOn w:val="style21"/>
    <w:next w:val="style2"/>
    <w:pPr>
      <w:keepNext/>
      <w:keepLines w:val="false"/>
      <w:widowControl w:val="false"/>
      <w:spacing w:after="0" w:before="200" w:line="100" w:lineRule="atLeast"/>
      <w:contextualSpacing/>
    </w:pPr>
    <w:rPr>
      <w:rFonts w:ascii="Trebuchet MS" w:cs="Trebuchet MS" w:eastAsia="Trebuchet MS" w:hAnsi="Trebuchet MS"/>
      <w:b/>
      <w:sz w:val="26"/>
    </w:rPr>
  </w:style>
  <w:style w:styleId="style3" w:type="paragraph">
    <w:name w:val="Címsor 3"/>
    <w:basedOn w:val="style21"/>
    <w:next w:val="style3"/>
    <w:pPr>
      <w:keepNext/>
      <w:keepLines w:val="false"/>
      <w:widowControl w:val="false"/>
      <w:spacing w:after="0" w:before="160" w:line="100" w:lineRule="atLeast"/>
      <w:contextualSpacing/>
    </w:pPr>
    <w:rPr>
      <w:rFonts w:ascii="Trebuchet MS" w:cs="Trebuchet MS" w:eastAsia="Trebuchet MS" w:hAnsi="Trebuchet MS"/>
      <w:b/>
      <w:color w:val="666666"/>
      <w:sz w:val="24"/>
    </w:rPr>
  </w:style>
  <w:style w:styleId="style4" w:type="paragraph">
    <w:name w:val="Címsor 4"/>
    <w:basedOn w:val="style21"/>
    <w:next w:val="style4"/>
    <w:pPr>
      <w:keepNext/>
      <w:keepLines w:val="false"/>
      <w:widowControl w:val="false"/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  <w:u w:val="single"/>
    </w:rPr>
  </w:style>
  <w:style w:styleId="style5" w:type="paragraph">
    <w:name w:val="Címsor 5"/>
    <w:basedOn w:val="style21"/>
    <w:next w:val="style5"/>
    <w:pPr>
      <w:keepNext/>
      <w:keepLines w:val="false"/>
      <w:widowControl w:val="false"/>
      <w:spacing w:after="0" w:before="160" w:line="100" w:lineRule="atLeast"/>
      <w:contextualSpacing/>
    </w:pPr>
    <w:rPr>
      <w:rFonts w:ascii="Trebuchet MS" w:cs="Trebuchet MS" w:eastAsia="Trebuchet MS" w:hAnsi="Trebuchet MS"/>
      <w:color w:val="666666"/>
      <w:sz w:val="22"/>
    </w:rPr>
  </w:style>
  <w:style w:styleId="style6" w:type="paragraph">
    <w:name w:val="Címsor 6"/>
    <w:basedOn w:val="style21"/>
    <w:next w:val="style6"/>
    <w:pPr>
      <w:keepNext/>
      <w:keepLines w:val="false"/>
      <w:widowControl w:val="false"/>
      <w:spacing w:after="0" w:before="160" w:line="100" w:lineRule="atLeast"/>
      <w:contextualSpacing/>
    </w:pPr>
    <w:rPr>
      <w:rFonts w:ascii="Trebuchet MS" w:cs="Trebuchet MS" w:eastAsia="Trebuchet MS" w:hAnsi="Trebuchet MS"/>
      <w:i/>
      <w:color w:val="666666"/>
      <w:sz w:val="22"/>
    </w:rPr>
  </w:style>
  <w:style w:styleId="style15" w:type="character">
    <w:name w:val="Internet-hivatkozás"/>
    <w:next w:val="style15"/>
    <w:rPr>
      <w:color w:val="000080"/>
      <w:u w:val="single"/>
      <w:lang w:bidi="zxx-" w:eastAsia="zxx-" w:val="zxx-"/>
    </w:rPr>
  </w:style>
  <w:style w:styleId="style16" w:type="paragraph">
    <w:name w:val="Címsor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  <w:style w:styleId="style21" w:type="paragraph">
    <w:name w:val="LO-normal"/>
    <w:next w:val="style21"/>
    <w:pPr>
      <w:keepNext/>
      <w:keepLines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0"/>
      <w:u w:val="none"/>
      <w:vertAlign w:val="baseline"/>
      <w:lang w:bidi="hi-IN" w:eastAsia="zh-CN" w:val="hu-HU"/>
    </w:rPr>
  </w:style>
  <w:style w:styleId="style22" w:type="paragraph">
    <w:name w:val="Cím"/>
    <w:basedOn w:val="style21"/>
    <w:next w:val="style22"/>
    <w:pPr>
      <w:keepNext/>
      <w:keepLines w:val="false"/>
      <w:widowControl w:val="false"/>
      <w:spacing w:after="0" w:before="0" w:line="100" w:lineRule="atLeast"/>
      <w:contextualSpacing/>
      <w:jc w:val="left"/>
    </w:pPr>
    <w:rPr>
      <w:rFonts w:ascii="Trebuchet MS" w:cs="Trebuchet MS" w:eastAsia="Trebuchet MS" w:hAnsi="Trebuchet MS"/>
      <w:sz w:val="42"/>
    </w:rPr>
  </w:style>
  <w:style w:styleId="style23" w:type="paragraph">
    <w:name w:val="Alcím"/>
    <w:basedOn w:val="style21"/>
    <w:next w:val="style23"/>
    <w:pPr>
      <w:keepNext/>
      <w:keepLines w:val="false"/>
      <w:widowControl w:val="false"/>
      <w:spacing w:after="200" w:before="0" w:line="100" w:lineRule="atLeast"/>
      <w:contextualSpacing/>
      <w:jc w:val="left"/>
    </w:pPr>
    <w:rPr>
      <w:rFonts w:ascii="Trebuchet MS" w:cs="Trebuchet MS" w:eastAsia="Trebuchet MS" w:hAnsi="Trebuchet MS"/>
      <w:i/>
      <w:color w:val="666666"/>
      <w:sz w:val="26"/>
    </w:rPr>
  </w:style>
  <w:style w:styleId="style24" w:type="paragraph">
    <w:name w:val="Élőláb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Digitális prezentációs ismeretek 1..docx</dc:title>
</cp:coreProperties>
</file>