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2D0619">
            <w:pPr>
              <w:rPr>
                <w:b/>
              </w:rPr>
            </w:pPr>
            <w:r w:rsidRPr="002D0619">
              <w:rPr>
                <w:b/>
              </w:rPr>
              <w:t>Megújuló energiaforrások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857145" w:rsidP="00942AF7">
            <w:pPr>
              <w:rPr>
                <w:b/>
              </w:rPr>
            </w:pPr>
            <w:r w:rsidRPr="00857145">
              <w:rPr>
                <w:b/>
              </w:rPr>
              <w:t>PMTEGNB105E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857145" w:rsidP="00113E79">
            <w:pPr>
              <w:rPr>
                <w:b/>
              </w:rPr>
            </w:pPr>
            <w:r w:rsidRPr="00857145">
              <w:rPr>
                <w:b/>
              </w:rPr>
              <w:t>1/2/0</w:t>
            </w:r>
            <w:r w:rsidR="00C80188">
              <w:rPr>
                <w:b/>
              </w:rPr>
              <w:t xml:space="preserve"> (1/1/1)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K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65B63" w:rsidRDefault="00113E79">
            <w:pPr>
              <w:rPr>
                <w:b/>
              </w:rPr>
            </w:pPr>
            <w:r w:rsidRPr="00065B63">
              <w:rPr>
                <w:b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65B63" w:rsidRDefault="00613D0E">
            <w:pPr>
              <w:rPr>
                <w:b/>
              </w:rPr>
            </w:pPr>
            <w:proofErr w:type="spellStart"/>
            <w:r w:rsidRPr="00065B63">
              <w:rPr>
                <w:b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65B63" w:rsidRDefault="00113E79">
            <w:pPr>
              <w:rPr>
                <w:b/>
              </w:rPr>
            </w:pPr>
            <w:r w:rsidRPr="00065B63">
              <w:rPr>
                <w:b/>
              </w:rPr>
              <w:t>m</w:t>
            </w:r>
            <w:r w:rsidR="009A0412" w:rsidRPr="00065B63">
              <w:rPr>
                <w:b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65B63" w:rsidRDefault="00942AF7" w:rsidP="00C554CC">
            <w:pPr>
              <w:rPr>
                <w:b/>
              </w:rPr>
            </w:pPr>
            <w:r>
              <w:rPr>
                <w:b/>
              </w:rPr>
              <w:t>Hőtan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65B63" w:rsidRDefault="00DD77D0">
            <w:pPr>
              <w:rPr>
                <w:b/>
              </w:rPr>
            </w:pPr>
            <w:r w:rsidRPr="00065B63">
              <w:rPr>
                <w:b/>
              </w:rPr>
              <w:t>Épületgépészeti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664F7A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="00664F7A">
              <w:rPr>
                <w:b/>
              </w:rPr>
              <w:t>Dr. Fülöp László</w:t>
            </w:r>
            <w:r>
              <w:t xml:space="preserve">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857145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857145">
              <w:t xml:space="preserve">A megújuló energiaforrások áttekintése és felhasználása az épületek energiaellátásában.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2D7986"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2D7986">
              <w:t>A megújuló energia definíciója. A megújuló energiák formái.</w:t>
            </w:r>
            <w:r w:rsidR="002D7986">
              <w:br/>
              <w:t>A napsugárzás tulajdonságai és felhasználása. Aktív és passzív termikus rendszerek, fotovillamos rendszerek. A biomassza fajtái és felhasználása. A geotermikus energia és felhasználása, hőszivattyú. A szélenergia. A vízi energia</w:t>
            </w:r>
            <w:r w:rsidR="007E03F6">
              <w:t>.</w:t>
            </w:r>
            <w:r w:rsidR="007E03F6">
              <w:t xml:space="preserve"> 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5F31BA" w:rsidRDefault="00BC2988" w:rsidP="005F31BA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5F31BA">
              <w:t>Előadások vetítéssel illusztrálva</w:t>
            </w:r>
            <w:r w:rsidR="005F31BA">
              <w:t xml:space="preserve">. </w:t>
            </w:r>
            <w:r w:rsidR="005F31BA">
              <w:t>Az előadások anyaga a belső szerveren elérhető, letölthető, a hallgatók előre át tudják tekinteni.</w:t>
            </w:r>
          </w:p>
          <w:p w:rsidR="00412C65" w:rsidRDefault="005F31BA" w:rsidP="005F31BA">
            <w:r>
              <w:t>Gyakorlatokon számpéldák közös megoldása, konzultáció az otthoni feladatokkal kapcsolatban és laborgyakorlatok.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5F31BA" w:rsidRPr="005F31BA">
              <w:t>1</w:t>
            </w:r>
            <w:r w:rsidR="005F31BA">
              <w:t>db</w:t>
            </w:r>
            <w:r w:rsidR="00D827E6" w:rsidRPr="000B7369">
              <w:rPr>
                <w:b/>
              </w:rPr>
              <w:t xml:space="preserve"> </w:t>
            </w:r>
            <w:r w:rsidR="00AC4774" w:rsidRPr="00AC4774">
              <w:t>zárthelyi</w:t>
            </w:r>
            <w:r w:rsidR="005F31BA">
              <w:t xml:space="preserve"> </w:t>
            </w:r>
            <w:r w:rsidR="00D827E6">
              <w:t>legalább 50%-os megírása</w:t>
            </w:r>
            <w:r w:rsidR="00A8551D">
              <w:t>,</w:t>
            </w:r>
          </w:p>
          <w:p w:rsidR="009A0412" w:rsidRDefault="005F31BA" w:rsidP="000B7369">
            <w:pPr>
              <w:ind w:right="-108"/>
            </w:pPr>
            <w:r>
              <w:t>1</w:t>
            </w:r>
            <w:r w:rsidR="000506CB">
              <w:t xml:space="preserve"> db,</w:t>
            </w:r>
            <w:r w:rsidR="00A8551D">
              <w:t xml:space="preserve"> legalább elégséges szintű </w:t>
            </w:r>
            <w:r>
              <w:t>otthoni feladat beadása, otthoni kis feladatok (számpéldák) elkészítése és beadása.</w:t>
            </w:r>
          </w:p>
          <w:p w:rsidR="00BF0457" w:rsidRDefault="00BF0457" w:rsidP="000B7369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7F5255">
            <w:pPr>
              <w:pStyle w:val="Szvegtrzs"/>
              <w:tabs>
                <w:tab w:val="right" w:pos="2058"/>
              </w:tabs>
              <w:jc w:val="left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942AF7" w:rsidRPr="00942AF7">
              <w:t>V</w:t>
            </w:r>
            <w:r w:rsidR="005117BA" w:rsidRPr="006C310B">
              <w:t>izsga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>A félév értékelése a félévközi munka és a vizsga alapján történik.</w:t>
            </w:r>
            <w:r w:rsidR="002D0619">
              <w:t xml:space="preserve"> Labor mérés jegyzőkönyvek</w:t>
            </w:r>
            <w:r w:rsidR="007F5255">
              <w:t>, számpéldák</w:t>
            </w:r>
            <w:r w:rsidR="007F5255">
              <w:t>. A teljesítés függvényében az érdemjegy: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7F5255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7F5255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 w:rsidP="007F52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7F52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 w:rsidP="007F525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7F52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 w:rsidP="007F52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7F5255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7F525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7F5255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7F5255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7E03F6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E03F6">
              <w:t>a</w:t>
            </w:r>
            <w:r w:rsidR="001D29C0">
              <w:t xml:space="preserve"> kari honlapon</w:t>
            </w:r>
            <w:r w:rsidR="007E03F6">
              <w:t xml:space="preserve"> meghirdetett</w:t>
            </w:r>
            <w:r w:rsidR="00733610" w:rsidRPr="00733610">
              <w:t xml:space="preserve">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76465C" w:rsidRDefault="002D7986" w:rsidP="007F5255">
            <w:r>
              <w:t>A tanszéki, kari szerveren elérhető anyagok és hivatkozások</w:t>
            </w:r>
          </w:p>
        </w:tc>
      </w:tr>
    </w:tbl>
    <w:p w:rsidR="002C13CC" w:rsidRDefault="002C13CC"/>
    <w:p w:rsidR="002D7986" w:rsidRDefault="002D7986">
      <w:r>
        <w:br w:type="page"/>
      </w:r>
    </w:p>
    <w:p w:rsidR="00B270B8" w:rsidRDefault="00B270B8"/>
    <w:tbl>
      <w:tblPr>
        <w:tblW w:w="104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4820"/>
        <w:gridCol w:w="4886"/>
      </w:tblGrid>
      <w:tr w:rsidR="007234C0" w:rsidRPr="00492A51" w:rsidTr="0038487E">
        <w:trPr>
          <w:trHeight w:val="527"/>
        </w:trPr>
        <w:tc>
          <w:tcPr>
            <w:tcW w:w="10406" w:type="dxa"/>
            <w:gridSpan w:val="3"/>
            <w:vAlign w:val="center"/>
          </w:tcPr>
          <w:p w:rsidR="0038487E" w:rsidRPr="000B7369" w:rsidRDefault="007234C0" w:rsidP="001A791C">
            <w:pPr>
              <w:jc w:val="center"/>
              <w:rPr>
                <w:sz w:val="28"/>
                <w:szCs w:val="28"/>
              </w:rPr>
            </w:pPr>
            <w:r w:rsidRPr="000B7369">
              <w:rPr>
                <w:sz w:val="28"/>
                <w:szCs w:val="28"/>
              </w:rPr>
              <w:t xml:space="preserve">Részletes </w:t>
            </w:r>
            <w:proofErr w:type="gramStart"/>
            <w:r w:rsidRPr="000B7369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2D0619" w:rsidRPr="002D0619">
              <w:rPr>
                <w:sz w:val="28"/>
                <w:szCs w:val="28"/>
              </w:rPr>
              <w:t xml:space="preserve">Megújuló energiaforrások </w:t>
            </w:r>
          </w:p>
        </w:tc>
      </w:tr>
      <w:tr w:rsidR="00C11C15" w:rsidRPr="00492A51" w:rsidTr="001A791C">
        <w:tc>
          <w:tcPr>
            <w:tcW w:w="700" w:type="dxa"/>
          </w:tcPr>
          <w:p w:rsidR="00C11C15" w:rsidRPr="00492A51" w:rsidRDefault="00C11C15" w:rsidP="000B7369">
            <w:pPr>
              <w:jc w:val="center"/>
            </w:pPr>
            <w:r w:rsidRPr="00492A51">
              <w:t>Hét</w:t>
            </w:r>
          </w:p>
        </w:tc>
        <w:tc>
          <w:tcPr>
            <w:tcW w:w="4820" w:type="dxa"/>
          </w:tcPr>
          <w:p w:rsidR="00C11C15" w:rsidRPr="00492A51" w:rsidRDefault="00C11C15" w:rsidP="00FD0EBF">
            <w:pPr>
              <w:jc w:val="center"/>
            </w:pPr>
            <w:r w:rsidRPr="00492A51">
              <w:t>Előadás</w:t>
            </w:r>
            <w:r>
              <w:t xml:space="preserve"> </w:t>
            </w:r>
          </w:p>
        </w:tc>
        <w:tc>
          <w:tcPr>
            <w:tcW w:w="4886" w:type="dxa"/>
          </w:tcPr>
          <w:p w:rsidR="00C11C15" w:rsidRPr="00492A51" w:rsidRDefault="00FD0EBF" w:rsidP="00FD0EBF">
            <w:pPr>
              <w:jc w:val="center"/>
            </w:pPr>
            <w:r>
              <w:t>Labor és g</w:t>
            </w:r>
            <w:r w:rsidR="0038487E" w:rsidRPr="00492A51">
              <w:t>yakorlat</w:t>
            </w:r>
          </w:p>
        </w:tc>
      </w:tr>
      <w:tr w:rsidR="00FD0EBF" w:rsidRPr="00492A51" w:rsidTr="001A791C">
        <w:tc>
          <w:tcPr>
            <w:tcW w:w="700" w:type="dxa"/>
          </w:tcPr>
          <w:p w:rsidR="00FD0EBF" w:rsidRPr="000B7369" w:rsidRDefault="00FD0EBF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1.</w:t>
            </w:r>
          </w:p>
          <w:p w:rsidR="00FD0EBF" w:rsidRPr="000B7369" w:rsidRDefault="00FD0EBF" w:rsidP="000B7369">
            <w:pPr>
              <w:jc w:val="center"/>
              <w:rPr>
                <w:sz w:val="22"/>
                <w:szCs w:val="22"/>
              </w:rPr>
            </w:pPr>
          </w:p>
          <w:p w:rsidR="00FD0EBF" w:rsidRPr="000B7369" w:rsidRDefault="00FD0EBF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D0EBF" w:rsidRDefault="002D7986" w:rsidP="002D7986">
            <w:r>
              <w:t>A megújuló energia definíciója. A megújuló energiák formái. A napsugárzás tulajdonságai az energia hasznosítás szempontjából. A napsugárzás spektrális összetétele. A földfelszínre érkező napsugárzás. A napsugárzás elnyelés fizikája. Szelektív felületképzések</w:t>
            </w:r>
            <w:r w:rsidR="007D0761">
              <w:t xml:space="preserve">. </w:t>
            </w:r>
            <w:proofErr w:type="gramStart"/>
            <w:r w:rsidR="007D0761">
              <w:t>A</w:t>
            </w:r>
            <w:proofErr w:type="gramEnd"/>
            <w:r w:rsidR="007D0761">
              <w:t xml:space="preserve"> napsugárzás elnyelők geometriája. Sík, tükröző felülettel kiegészített, vonalfókuszáló, pontfókuszáló rendszerek.</w:t>
            </w:r>
          </w:p>
        </w:tc>
        <w:tc>
          <w:tcPr>
            <w:tcW w:w="4886" w:type="dxa"/>
          </w:tcPr>
          <w:p w:rsidR="001D29C0" w:rsidRDefault="007D0761" w:rsidP="00533851">
            <w:r>
              <w:t>Napsugárzás mérés</w:t>
            </w:r>
          </w:p>
        </w:tc>
      </w:tr>
      <w:tr w:rsidR="00405B6F" w:rsidRPr="00492A51" w:rsidTr="001A791C">
        <w:tc>
          <w:tcPr>
            <w:tcW w:w="700" w:type="dxa"/>
          </w:tcPr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2.</w:t>
            </w:r>
          </w:p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5B6F" w:rsidRDefault="002D7986" w:rsidP="00533851">
            <w:r>
              <w:t xml:space="preserve">A napkollektor (síkkollektor). Az abszorber geometriai paraméterei. Az abszorber sugárzásos </w:t>
            </w:r>
            <w:proofErr w:type="spellStart"/>
            <w:r>
              <w:t>hőmérlege</w:t>
            </w:r>
            <w:proofErr w:type="spellEnd"/>
            <w:r>
              <w:t xml:space="preserve">. Vákuumcsöves napkollektor. Vákuumcsöves napkollektor </w:t>
            </w:r>
            <w:proofErr w:type="spellStart"/>
            <w:r>
              <w:t>hőcső</w:t>
            </w:r>
            <w:proofErr w:type="spellEnd"/>
            <w:r>
              <w:t xml:space="preserve"> elven.</w:t>
            </w:r>
          </w:p>
          <w:p w:rsidR="007D0761" w:rsidRDefault="007D0761" w:rsidP="00533851">
            <w:r>
              <w:t>Napkollektorok összehasonlítása. Napkollektor hatásfok specifikáció</w:t>
            </w:r>
          </w:p>
        </w:tc>
        <w:tc>
          <w:tcPr>
            <w:tcW w:w="4886" w:type="dxa"/>
          </w:tcPr>
          <w:p w:rsidR="00405B6F" w:rsidRDefault="007D0761" w:rsidP="00BD1237">
            <w:r>
              <w:t>Napkollektorok hatásfokának mérése, összehasonlítása.</w:t>
            </w:r>
          </w:p>
        </w:tc>
      </w:tr>
      <w:tr w:rsidR="00405B6F" w:rsidRPr="00492A51" w:rsidTr="001A791C">
        <w:tc>
          <w:tcPr>
            <w:tcW w:w="700" w:type="dxa"/>
          </w:tcPr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3.</w:t>
            </w:r>
          </w:p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5B6F" w:rsidRDefault="007D0761" w:rsidP="007D0761">
            <w:r>
              <w:t xml:space="preserve">Napkollektor hőhordozó közeg. Napkollektor szellőző levegő előmelegítésére. Napkollektoros vízmelegítés. Gravitációs rendszer. Szivattyús rendszerek. Szabályozás. Utófűtés. </w:t>
            </w:r>
          </w:p>
        </w:tc>
        <w:tc>
          <w:tcPr>
            <w:tcW w:w="4886" w:type="dxa"/>
          </w:tcPr>
          <w:p w:rsidR="00405B6F" w:rsidRDefault="002D41B4" w:rsidP="00405B6F">
            <w:r>
              <w:t>Napkollektoros rendszerek méretezése</w:t>
            </w:r>
          </w:p>
        </w:tc>
      </w:tr>
      <w:tr w:rsidR="00405B6F" w:rsidRPr="00492A51" w:rsidTr="001A791C">
        <w:tc>
          <w:tcPr>
            <w:tcW w:w="700" w:type="dxa"/>
          </w:tcPr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4.</w:t>
            </w:r>
          </w:p>
          <w:p w:rsidR="00405B6F" w:rsidRPr="000B7369" w:rsidRDefault="00405B6F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5B6F" w:rsidRDefault="007D0761" w:rsidP="003F2848">
            <w:r>
              <w:t>Leürítős rendszerek</w:t>
            </w:r>
          </w:p>
        </w:tc>
        <w:tc>
          <w:tcPr>
            <w:tcW w:w="4886" w:type="dxa"/>
          </w:tcPr>
          <w:p w:rsidR="00405B6F" w:rsidRDefault="002D41B4" w:rsidP="00533851">
            <w:r>
              <w:t xml:space="preserve">Napkollektoros </w:t>
            </w:r>
            <w:proofErr w:type="spellStart"/>
            <w:r>
              <w:t>hmv</w:t>
            </w:r>
            <w:proofErr w:type="spellEnd"/>
            <w:r>
              <w:t xml:space="preserve"> rendszerek méretezése</w:t>
            </w:r>
          </w:p>
        </w:tc>
      </w:tr>
      <w:tr w:rsidR="00BD1237" w:rsidRPr="00492A51" w:rsidTr="001A791C">
        <w:tc>
          <w:tcPr>
            <w:tcW w:w="700" w:type="dxa"/>
          </w:tcPr>
          <w:p w:rsidR="00BD1237" w:rsidRPr="000B7369" w:rsidRDefault="00BD1237" w:rsidP="002A0E3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5.</w:t>
            </w:r>
          </w:p>
          <w:p w:rsidR="00BD1237" w:rsidRPr="000B7369" w:rsidRDefault="00BD1237" w:rsidP="002A0E3A">
            <w:pPr>
              <w:jc w:val="center"/>
              <w:rPr>
                <w:sz w:val="22"/>
                <w:szCs w:val="22"/>
              </w:rPr>
            </w:pPr>
          </w:p>
          <w:p w:rsidR="00BD1237" w:rsidRPr="000B7369" w:rsidRDefault="00BD1237" w:rsidP="002A0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D1237" w:rsidRPr="003F2848" w:rsidRDefault="007D0761" w:rsidP="003F2848">
            <w:pPr>
              <w:tabs>
                <w:tab w:val="left" w:pos="1065"/>
              </w:tabs>
            </w:pPr>
            <w:r>
              <w:t xml:space="preserve">Napkollektoros rendszerek több tárolóval, soros és párhuzamos kapcsolás: A </w:t>
            </w:r>
            <w:proofErr w:type="spellStart"/>
            <w:r>
              <w:t>hmv</w:t>
            </w:r>
            <w:proofErr w:type="spellEnd"/>
            <w:r>
              <w:t xml:space="preserve"> cirkuláció bekötése</w:t>
            </w:r>
          </w:p>
        </w:tc>
        <w:tc>
          <w:tcPr>
            <w:tcW w:w="4886" w:type="dxa"/>
          </w:tcPr>
          <w:p w:rsidR="00BD1237" w:rsidRDefault="002D41B4" w:rsidP="00533851">
            <w:r>
              <w:t>Kapcsolási vázlat változatok elemzése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6.</w:t>
            </w:r>
          </w:p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</w:p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7D0761" w:rsidP="00533851">
            <w:r>
              <w:t>Passzív szolár rendszerek: építészeti eszközök, energiatudatos építészet</w:t>
            </w:r>
          </w:p>
        </w:tc>
        <w:tc>
          <w:tcPr>
            <w:tcW w:w="4886" w:type="dxa"/>
          </w:tcPr>
          <w:p w:rsidR="003F2848" w:rsidRDefault="002D41B4" w:rsidP="00533851">
            <w:r>
              <w:t xml:space="preserve">Naptér és </w:t>
            </w:r>
            <w:proofErr w:type="spellStart"/>
            <w:r>
              <w:t>Trombe</w:t>
            </w:r>
            <w:proofErr w:type="spellEnd"/>
            <w:r>
              <w:t xml:space="preserve"> fal méretezése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7.</w:t>
            </w:r>
          </w:p>
          <w:p w:rsidR="003F2848" w:rsidRPr="000B7369" w:rsidRDefault="003F2848" w:rsidP="00717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2D7986" w:rsidP="00533851">
            <w:bookmarkStart w:id="0" w:name="_GoBack"/>
            <w:bookmarkEnd w:id="0"/>
            <w:r>
              <w:t xml:space="preserve">Fotovillamos technika: napelemek. Napelemek </w:t>
            </w:r>
            <w:r w:rsidR="007D0761">
              <w:t xml:space="preserve">típusai, </w:t>
            </w:r>
            <w:r>
              <w:t>tulajdonságai, felhasználása</w:t>
            </w:r>
            <w:r w:rsidR="007D0761">
              <w:t>, napelemes rendszerek kapcsolásai</w:t>
            </w:r>
          </w:p>
        </w:tc>
        <w:tc>
          <w:tcPr>
            <w:tcW w:w="4886" w:type="dxa"/>
          </w:tcPr>
          <w:p w:rsidR="003F2848" w:rsidRDefault="002D41B4" w:rsidP="00533851">
            <w:r>
              <w:t>Napelem mérések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 xml:space="preserve">8. 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6" w:type="dxa"/>
            <w:gridSpan w:val="2"/>
          </w:tcPr>
          <w:p w:rsidR="003F2848" w:rsidRPr="00492A51" w:rsidRDefault="003F2848" w:rsidP="00C027D9">
            <w:pPr>
              <w:jc w:val="center"/>
            </w:pPr>
            <w:r w:rsidRPr="00492A51">
              <w:t>Szünet</w:t>
            </w:r>
          </w:p>
        </w:tc>
      </w:tr>
      <w:tr w:rsidR="003F2848" w:rsidRPr="00492A51" w:rsidTr="001A791C">
        <w:trPr>
          <w:trHeight w:val="414"/>
        </w:trPr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9.</w:t>
            </w:r>
          </w:p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2D7986" w:rsidP="00533851">
            <w:r>
              <w:t xml:space="preserve">Hűtés napenergiával. Abszorpciós hűtő. Kompresszoros hűtő. </w:t>
            </w:r>
            <w:proofErr w:type="spellStart"/>
            <w:r>
              <w:t>Peltier</w:t>
            </w:r>
            <w:proofErr w:type="spellEnd"/>
            <w:r>
              <w:t xml:space="preserve"> </w:t>
            </w:r>
            <w:proofErr w:type="spellStart"/>
            <w:r>
              <w:t>termoelektromos</w:t>
            </w:r>
            <w:proofErr w:type="spellEnd"/>
            <w:r>
              <w:t xml:space="preserve"> hűtő. A </w:t>
            </w:r>
            <w:proofErr w:type="spellStart"/>
            <w:r>
              <w:t>Stirling</w:t>
            </w:r>
            <w:proofErr w:type="spellEnd"/>
            <w:r>
              <w:t xml:space="preserve"> motor elve, működtetése megújuló forrásból</w:t>
            </w:r>
          </w:p>
        </w:tc>
        <w:tc>
          <w:tcPr>
            <w:tcW w:w="4886" w:type="dxa"/>
          </w:tcPr>
          <w:p w:rsidR="003F2848" w:rsidRDefault="002D0619" w:rsidP="00533851">
            <w:r>
              <w:t>Megújuló energia rendszerek szimulációs számításai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10.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FA0004" w:rsidP="00FA0004">
            <w:pPr>
              <w:tabs>
                <w:tab w:val="left" w:pos="900"/>
              </w:tabs>
            </w:pPr>
            <w:r>
              <w:t xml:space="preserve">Geotermikus energia. A hasznosítás jellemző lépcsőfokai a hőmérséklettől függően. Talajvíz </w:t>
            </w:r>
            <w:proofErr w:type="spellStart"/>
            <w:r>
              <w:t>hőhasznosítása</w:t>
            </w:r>
            <w:proofErr w:type="spellEnd"/>
            <w:r>
              <w:t xml:space="preserve"> hőszivattyúval. Talajba fektetett csővezeték (</w:t>
            </w:r>
            <w:proofErr w:type="spellStart"/>
            <w:r>
              <w:t>talajkollektor</w:t>
            </w:r>
            <w:proofErr w:type="spellEnd"/>
            <w:r>
              <w:t>). Talajszonda</w:t>
            </w:r>
          </w:p>
        </w:tc>
        <w:tc>
          <w:tcPr>
            <w:tcW w:w="4886" w:type="dxa"/>
          </w:tcPr>
          <w:p w:rsidR="003F2848" w:rsidRDefault="002D41B4" w:rsidP="002D41B4">
            <w:r>
              <w:t xml:space="preserve">Geotermikus </w:t>
            </w:r>
            <w:proofErr w:type="gramStart"/>
            <w:r>
              <w:t>hőszivattyú mérés</w:t>
            </w:r>
            <w:proofErr w:type="gramEnd"/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11.</w:t>
            </w:r>
          </w:p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FA0004" w:rsidP="00533851">
            <w:proofErr w:type="gramStart"/>
            <w:r>
              <w:t>Hulladék hasznosítás</w:t>
            </w:r>
            <w:proofErr w:type="gramEnd"/>
            <w:r>
              <w:t xml:space="preserve">. Energianyerés biomasszából. Fatüzelés. Nagy </w:t>
            </w:r>
            <w:proofErr w:type="gramStart"/>
            <w:r>
              <w:t>hasáb tüzelésű</w:t>
            </w:r>
            <w:proofErr w:type="gramEnd"/>
            <w:r>
              <w:t xml:space="preserve"> kazán. Faelgázosító kazán. </w:t>
            </w:r>
            <w:proofErr w:type="spellStart"/>
            <w:r>
              <w:t>Faapríték</w:t>
            </w:r>
            <w:proofErr w:type="spellEnd"/>
            <w:r>
              <w:t xml:space="preserve"> tüzelés. </w:t>
            </w:r>
            <w:proofErr w:type="spellStart"/>
            <w:r>
              <w:t>Biobrikett</w:t>
            </w:r>
            <w:proofErr w:type="spellEnd"/>
            <w:r>
              <w:t xml:space="preserve">. </w:t>
            </w:r>
            <w:proofErr w:type="spellStart"/>
            <w:r>
              <w:t>Pellet</w:t>
            </w:r>
            <w:proofErr w:type="spellEnd"/>
            <w:r>
              <w:t xml:space="preserve"> tüzelés. Alsóégésű bálatüzelésű kazán. Aprítós (szecskázó) szalmabála tüzelő berendezés</w:t>
            </w:r>
          </w:p>
        </w:tc>
        <w:tc>
          <w:tcPr>
            <w:tcW w:w="4886" w:type="dxa"/>
          </w:tcPr>
          <w:p w:rsidR="003F2848" w:rsidRDefault="002D41B4" w:rsidP="002D41B4">
            <w:r>
              <w:t>Hővisszanyerő mérés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12.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FA0004" w:rsidP="00533851">
            <w:r>
              <w:t xml:space="preserve"> Biodízel, </w:t>
            </w:r>
            <w:proofErr w:type="spellStart"/>
            <w:r>
              <w:t>bioalkohol</w:t>
            </w:r>
            <w:proofErr w:type="spellEnd"/>
            <w:r>
              <w:t>, biogáz, depóniagáz</w:t>
            </w:r>
          </w:p>
        </w:tc>
        <w:tc>
          <w:tcPr>
            <w:tcW w:w="4886" w:type="dxa"/>
          </w:tcPr>
          <w:p w:rsidR="003F2848" w:rsidRDefault="009A2167" w:rsidP="003F2848">
            <w:r>
              <w:t>Biomassza kazán mérése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13.</w:t>
            </w:r>
          </w:p>
          <w:p w:rsidR="003F2848" w:rsidRPr="000B7369" w:rsidRDefault="003F2848" w:rsidP="00B6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FA0004" w:rsidP="00533851">
            <w:r>
              <w:t>Hidrogéntechnológia</w:t>
            </w:r>
          </w:p>
        </w:tc>
        <w:tc>
          <w:tcPr>
            <w:tcW w:w="4886" w:type="dxa"/>
          </w:tcPr>
          <w:p w:rsidR="003F2848" w:rsidRDefault="002D0619" w:rsidP="002D0619">
            <w:r>
              <w:t>Megújuló energia rendszerek szimulációs számításai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14.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Default="00FA0004" w:rsidP="00533851">
            <w:r>
              <w:t>Szélenergia. Átlagos szélsebesség. A szélkerekek fő típusai</w:t>
            </w:r>
          </w:p>
        </w:tc>
        <w:tc>
          <w:tcPr>
            <w:tcW w:w="4886" w:type="dxa"/>
          </w:tcPr>
          <w:p w:rsidR="003F2848" w:rsidRDefault="002D0619" w:rsidP="00533851">
            <w:r>
              <w:t>Megújuló energia rendszerek szimulációs számításai</w:t>
            </w:r>
          </w:p>
        </w:tc>
      </w:tr>
      <w:tr w:rsidR="003F2848" w:rsidRPr="00492A51" w:rsidTr="001A791C">
        <w:tc>
          <w:tcPr>
            <w:tcW w:w="700" w:type="dxa"/>
          </w:tcPr>
          <w:p w:rsidR="003F2848" w:rsidRPr="000B7369" w:rsidRDefault="003F2848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15.</w:t>
            </w:r>
          </w:p>
          <w:p w:rsidR="003F2848" w:rsidRPr="000B7369" w:rsidRDefault="003F2848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F2848" w:rsidRPr="00366E01" w:rsidRDefault="002D41B4" w:rsidP="00533851">
            <w:proofErr w:type="spellStart"/>
            <w:r>
              <w:t>Vizienergia</w:t>
            </w:r>
            <w:proofErr w:type="spellEnd"/>
          </w:p>
        </w:tc>
        <w:tc>
          <w:tcPr>
            <w:tcW w:w="4886" w:type="dxa"/>
          </w:tcPr>
          <w:p w:rsidR="003F2848" w:rsidRDefault="002D41B4" w:rsidP="00533851">
            <w:r>
              <w:t>Pótmérések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4C" w:rsidRDefault="00644B4C">
      <w:r>
        <w:separator/>
      </w:r>
    </w:p>
  </w:endnote>
  <w:endnote w:type="continuationSeparator" w:id="0">
    <w:p w:rsidR="00644B4C" w:rsidRDefault="0064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4C" w:rsidRDefault="00644B4C">
      <w:r>
        <w:separator/>
      </w:r>
    </w:p>
  </w:footnote>
  <w:footnote w:type="continuationSeparator" w:id="0">
    <w:p w:rsidR="00644B4C" w:rsidRDefault="00644B4C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4E8"/>
    <w:multiLevelType w:val="hybridMultilevel"/>
    <w:tmpl w:val="8048A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628"/>
    <w:multiLevelType w:val="hybridMultilevel"/>
    <w:tmpl w:val="641ABF24"/>
    <w:lvl w:ilvl="0" w:tplc="BAB2E4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3B4"/>
    <w:multiLevelType w:val="hybridMultilevel"/>
    <w:tmpl w:val="635AFD08"/>
    <w:lvl w:ilvl="0" w:tplc="BAB2E4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37AB"/>
    <w:rsid w:val="00023B11"/>
    <w:rsid w:val="000460EE"/>
    <w:rsid w:val="000506CB"/>
    <w:rsid w:val="000634CF"/>
    <w:rsid w:val="00065B63"/>
    <w:rsid w:val="000B7369"/>
    <w:rsid w:val="000D4DBD"/>
    <w:rsid w:val="00113E79"/>
    <w:rsid w:val="001A02D2"/>
    <w:rsid w:val="001A791C"/>
    <w:rsid w:val="001B71E7"/>
    <w:rsid w:val="001B7D06"/>
    <w:rsid w:val="001C73D8"/>
    <w:rsid w:val="001D29C0"/>
    <w:rsid w:val="001E1BF5"/>
    <w:rsid w:val="002255AC"/>
    <w:rsid w:val="0022608D"/>
    <w:rsid w:val="00243BB5"/>
    <w:rsid w:val="00275682"/>
    <w:rsid w:val="00276764"/>
    <w:rsid w:val="002A50A6"/>
    <w:rsid w:val="002C13CC"/>
    <w:rsid w:val="002C2B36"/>
    <w:rsid w:val="002D0619"/>
    <w:rsid w:val="002D37AB"/>
    <w:rsid w:val="002D41B4"/>
    <w:rsid w:val="002D7986"/>
    <w:rsid w:val="002E3120"/>
    <w:rsid w:val="00305EED"/>
    <w:rsid w:val="00317222"/>
    <w:rsid w:val="0034022C"/>
    <w:rsid w:val="00347507"/>
    <w:rsid w:val="00355BE8"/>
    <w:rsid w:val="00364E00"/>
    <w:rsid w:val="0038487E"/>
    <w:rsid w:val="00394860"/>
    <w:rsid w:val="003A53AB"/>
    <w:rsid w:val="003E76DA"/>
    <w:rsid w:val="003F0A3D"/>
    <w:rsid w:val="003F2848"/>
    <w:rsid w:val="00402A85"/>
    <w:rsid w:val="00405B6F"/>
    <w:rsid w:val="0041017F"/>
    <w:rsid w:val="00412C65"/>
    <w:rsid w:val="00415A4F"/>
    <w:rsid w:val="0045154D"/>
    <w:rsid w:val="004866D0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5F31BA"/>
    <w:rsid w:val="006015CF"/>
    <w:rsid w:val="00611239"/>
    <w:rsid w:val="00613D0E"/>
    <w:rsid w:val="00644B4C"/>
    <w:rsid w:val="00661ED5"/>
    <w:rsid w:val="00664F7A"/>
    <w:rsid w:val="00673C73"/>
    <w:rsid w:val="0068048B"/>
    <w:rsid w:val="006A57D0"/>
    <w:rsid w:val="006E2C30"/>
    <w:rsid w:val="006F39EF"/>
    <w:rsid w:val="006F7644"/>
    <w:rsid w:val="0071148C"/>
    <w:rsid w:val="00712A99"/>
    <w:rsid w:val="00713498"/>
    <w:rsid w:val="00723312"/>
    <w:rsid w:val="007234C0"/>
    <w:rsid w:val="00733610"/>
    <w:rsid w:val="007514C6"/>
    <w:rsid w:val="0076465C"/>
    <w:rsid w:val="00766711"/>
    <w:rsid w:val="007C224E"/>
    <w:rsid w:val="007D0761"/>
    <w:rsid w:val="007D09EB"/>
    <w:rsid w:val="007D2012"/>
    <w:rsid w:val="007E03F6"/>
    <w:rsid w:val="007E674B"/>
    <w:rsid w:val="007F5255"/>
    <w:rsid w:val="00807454"/>
    <w:rsid w:val="008401F7"/>
    <w:rsid w:val="00857145"/>
    <w:rsid w:val="00860EA8"/>
    <w:rsid w:val="00860FE1"/>
    <w:rsid w:val="008725FB"/>
    <w:rsid w:val="00891554"/>
    <w:rsid w:val="00892EBF"/>
    <w:rsid w:val="00942AF7"/>
    <w:rsid w:val="00942FEE"/>
    <w:rsid w:val="00956F71"/>
    <w:rsid w:val="00967AD0"/>
    <w:rsid w:val="009A0412"/>
    <w:rsid w:val="009A2167"/>
    <w:rsid w:val="009A28C4"/>
    <w:rsid w:val="009A768F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97717"/>
    <w:rsid w:val="00AA0C3B"/>
    <w:rsid w:val="00AB0789"/>
    <w:rsid w:val="00AB1222"/>
    <w:rsid w:val="00AC4774"/>
    <w:rsid w:val="00AC61E0"/>
    <w:rsid w:val="00AD12A6"/>
    <w:rsid w:val="00AF78B6"/>
    <w:rsid w:val="00B0786E"/>
    <w:rsid w:val="00B206E9"/>
    <w:rsid w:val="00B270B8"/>
    <w:rsid w:val="00B500AF"/>
    <w:rsid w:val="00B601A2"/>
    <w:rsid w:val="00B64FC1"/>
    <w:rsid w:val="00B661F2"/>
    <w:rsid w:val="00B81E9B"/>
    <w:rsid w:val="00B82B56"/>
    <w:rsid w:val="00BB60E3"/>
    <w:rsid w:val="00BC2988"/>
    <w:rsid w:val="00BC328D"/>
    <w:rsid w:val="00BC3505"/>
    <w:rsid w:val="00BD1237"/>
    <w:rsid w:val="00BF0457"/>
    <w:rsid w:val="00C027D9"/>
    <w:rsid w:val="00C03177"/>
    <w:rsid w:val="00C05F50"/>
    <w:rsid w:val="00C05F97"/>
    <w:rsid w:val="00C11C15"/>
    <w:rsid w:val="00C25CA9"/>
    <w:rsid w:val="00C554CC"/>
    <w:rsid w:val="00C76E7A"/>
    <w:rsid w:val="00C80188"/>
    <w:rsid w:val="00C839D6"/>
    <w:rsid w:val="00C85BE4"/>
    <w:rsid w:val="00C96EB6"/>
    <w:rsid w:val="00CA3AD9"/>
    <w:rsid w:val="00CA4316"/>
    <w:rsid w:val="00CA4D80"/>
    <w:rsid w:val="00CF3328"/>
    <w:rsid w:val="00CF3F0D"/>
    <w:rsid w:val="00D01B7F"/>
    <w:rsid w:val="00D15660"/>
    <w:rsid w:val="00D17FA9"/>
    <w:rsid w:val="00D2669A"/>
    <w:rsid w:val="00D36F82"/>
    <w:rsid w:val="00D37CD5"/>
    <w:rsid w:val="00D4321B"/>
    <w:rsid w:val="00D46B36"/>
    <w:rsid w:val="00D52E1C"/>
    <w:rsid w:val="00D827E6"/>
    <w:rsid w:val="00D868CD"/>
    <w:rsid w:val="00D954BA"/>
    <w:rsid w:val="00DA3F77"/>
    <w:rsid w:val="00DC4F2E"/>
    <w:rsid w:val="00DC677C"/>
    <w:rsid w:val="00DD738D"/>
    <w:rsid w:val="00DD77D0"/>
    <w:rsid w:val="00DE5FB6"/>
    <w:rsid w:val="00DE750C"/>
    <w:rsid w:val="00E344F9"/>
    <w:rsid w:val="00E51A57"/>
    <w:rsid w:val="00E535F0"/>
    <w:rsid w:val="00E663BF"/>
    <w:rsid w:val="00E70762"/>
    <w:rsid w:val="00EB2565"/>
    <w:rsid w:val="00EB352A"/>
    <w:rsid w:val="00EB5166"/>
    <w:rsid w:val="00EC1E3A"/>
    <w:rsid w:val="00EF201D"/>
    <w:rsid w:val="00F433DC"/>
    <w:rsid w:val="00F4681A"/>
    <w:rsid w:val="00F62F54"/>
    <w:rsid w:val="00F62F71"/>
    <w:rsid w:val="00FA0004"/>
    <w:rsid w:val="00FB66EA"/>
    <w:rsid w:val="00FC1890"/>
    <w:rsid w:val="00FC5867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Listaszerbekezds">
    <w:name w:val="List Paragraph"/>
    <w:basedOn w:val="Norml"/>
    <w:uiPriority w:val="34"/>
    <w:qFormat/>
    <w:rsid w:val="007F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547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TANTÁRGY ADATLAP</vt:lpstr>
      <vt:lpstr>TANTÁRGYADATLAP, TANTÁRGYI KÖVETELMÉNYEK</vt:lpstr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EMM</dc:creator>
  <cp:lastModifiedBy>Fülöp László</cp:lastModifiedBy>
  <cp:revision>7</cp:revision>
  <cp:lastPrinted>2013-09-04T06:39:00Z</cp:lastPrinted>
  <dcterms:created xsi:type="dcterms:W3CDTF">2014-08-29T12:57:00Z</dcterms:created>
  <dcterms:modified xsi:type="dcterms:W3CDTF">2014-08-29T13:29:00Z</dcterms:modified>
</cp:coreProperties>
</file>