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FB" w:rsidRPr="003F6AD1" w:rsidRDefault="001C35FB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Pr="0032708A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Kommunális technológiák II.</w:t>
      </w:r>
    </w:p>
    <w:p w:rsidR="001C35FB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Kód: </w:t>
      </w:r>
      <w:r w:rsidRPr="0032708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PMTKONB144G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-EA-00, </w:t>
      </w:r>
      <w:r w:rsidRPr="0032708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PMTKONB144G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-LA-01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Szemeszter: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FD5B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-201</w:t>
      </w:r>
      <w:r w:rsidR="00FD5B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Kreditszám: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1/0/2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Szóbeli vizsga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Dr</w:t>
      </w:r>
      <w:proofErr w:type="spellEnd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Kiss Tibor</w:t>
      </w:r>
    </w:p>
    <w:p w:rsidR="001C35FB" w:rsidRPr="003F6AD1" w:rsidRDefault="001C35F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Leitol</w:t>
      </w:r>
      <w:proofErr w:type="spellEnd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Csaba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1C35FB" w:rsidRPr="00D3761D" w:rsidRDefault="001C35FB" w:rsidP="006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D419E">
        <w:rPr>
          <w:rFonts w:ascii="Times New Roman" w:hAnsi="Times New Roman" w:cs="Times New Roman"/>
          <w:sz w:val="24"/>
          <w:szCs w:val="24"/>
          <w:lang w:eastAsia="hu-HU"/>
        </w:rPr>
        <w:t xml:space="preserve">Gyűjtőszigetek, hulladékudvarok, átrakóállomások, válogatóművek és mechanikai kezelő művek műszaki kialakítása, üzemeltetése. Regionális hulladékkezelési rendszerek Magyarországon. Regionális hulladékkezelési rendszerek műszaki felépítése.  Hulladéklerakók építése, műszaki védelem kialakítás, aljzat és oldalszigetelés, </w:t>
      </w:r>
      <w:proofErr w:type="spellStart"/>
      <w:r w:rsidRPr="00ED419E">
        <w:rPr>
          <w:rFonts w:ascii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ED419E">
        <w:rPr>
          <w:rFonts w:ascii="Times New Roman" w:hAnsi="Times New Roman" w:cs="Times New Roman"/>
          <w:sz w:val="24"/>
          <w:szCs w:val="24"/>
          <w:lang w:eastAsia="hu-HU"/>
        </w:rPr>
        <w:t xml:space="preserve"> és depógáz gyűjtés és kezelés, hulladéklerakók üzemeltetési feladatai és lezárása, rekultivációs lehetőségei.  Új műszaki létesítmények tervezési feladatai. Esettanulmányok, gyakorlati megvalósulások ismertetése. Integrált hulladékgazdálkodási rendszer tervezése.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1C35FB" w:rsidRPr="00666874" w:rsidRDefault="001C35FB" w:rsidP="0066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Települési szilárd hulladékok kezelésének gyakorlati jellegű oktatása, a korszerű hulladékkezelési és ártalmatlanítási létesítmények kial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>kításának és üzemeltetésének megismertetése.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1C35FB" w:rsidRPr="00FF70F8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Előadások: a létesítményekkel kapcsolatos ismeretek átadása, tervek, folyamatábrák, műszaki leírások bemutatása</w:t>
      </w:r>
    </w:p>
    <w:p w:rsidR="001C35FB" w:rsidRPr="00FF70F8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Gyakorlat: anyagismeret, esettanulmányok, terepgyakorlat-műszerismeret, tervezési feladat önálló megoldása és bemutatása (prezentáció tartása)</w:t>
      </w:r>
    </w:p>
    <w:p w:rsidR="001C35FB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Üzemlátogatás: létesítmények (válogatómű, MBH, komposzttelep, hulladéklerakó)</w:t>
      </w:r>
    </w:p>
    <w:p w:rsidR="001C35FB" w:rsidRDefault="001C35FB" w:rsidP="00FF70F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Könyvek: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Barótfi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István Környezettechnika (Mezőgazda Kiadó 2000)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kézikönyv I. (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kiadó 2002)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kézikönyv II. (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kiadó 2005)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Szabó Imre 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Hulladékelhelyezés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(Miskolci Egyetem Kiadó 1999)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szakmai füzetek 1-10. (Környezetvédelmi és Vízügyi Minisztérium 2003</w:t>
      </w:r>
    </w:p>
    <w:p w:rsidR="001C35FB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u w:val="single"/>
          <w:lang w:eastAsia="hu-HU"/>
        </w:rPr>
        <w:t>Interneten elérhető tananyagok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 I. http://mkweb.uni-pannon.hu/tudastar/anyagok/12-Hulladekgazdalkodas.pdf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 http://hulladekonline.hu/files/171/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Rekultiváció – tervezési segédlet </w:t>
      </w:r>
    </w:p>
    <w:p w:rsidR="001C35FB" w:rsidRPr="00EB346A" w:rsidRDefault="00FD5B20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="001C35FB" w:rsidRPr="00EB346A">
          <w:rPr>
            <w:sz w:val="24"/>
            <w:szCs w:val="24"/>
            <w:lang w:eastAsia="hu-HU"/>
          </w:rPr>
          <w:t>http://www.kvvm.hu/szakmai/hulladekgazd/tervezes_seged/rekultiv-tervezesi.pdf</w:t>
        </w:r>
      </w:hyperlink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Országos Hulladékgazdálkodási Terv 2014-2020</w:t>
      </w:r>
    </w:p>
    <w:p w:rsidR="001C35FB" w:rsidRPr="00EB346A" w:rsidRDefault="001C35FB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http</w:t>
      </w:r>
      <w:proofErr w:type="gram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>://www.szelektivinfo.hu/hirek/414-megjelent-az-orszagos-hulladekgazdalkodasi-terv-2014-2020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1C35FB" w:rsidRPr="00FF70F8" w:rsidRDefault="001C35FB" w:rsidP="00FF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Előadások látogatása, az előadások legalább 80%-án való részvétel, sikeres (min. 50%-os) zárthelyi dolgozat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7"/>
          <w:szCs w:val="27"/>
          <w:lang w:eastAsia="hu-HU"/>
        </w:rPr>
        <w:t>Vizsga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7"/>
          <w:szCs w:val="27"/>
          <w:lang w:eastAsia="hu-HU"/>
        </w:rPr>
        <w:t>TVSZ szerint</w:t>
      </w:r>
    </w:p>
    <w:p w:rsidR="001C35FB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1C35FB" w:rsidRPr="00EB346A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Zárthelyi dolgozat 1 db, félévi előadások témaköre, időpontja: 201</w:t>
      </w:r>
      <w:r w:rsidR="00FD5B20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EB346A">
        <w:rPr>
          <w:rFonts w:ascii="Times New Roman" w:hAnsi="Times New Roman" w:cs="Times New Roman"/>
          <w:sz w:val="24"/>
          <w:szCs w:val="24"/>
          <w:lang w:eastAsia="hu-HU"/>
        </w:rPr>
        <w:t>. május 0</w:t>
      </w:r>
      <w:r w:rsidR="00FD5B20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EB346A">
        <w:rPr>
          <w:rFonts w:ascii="Times New Roman" w:hAnsi="Times New Roman" w:cs="Times New Roman"/>
          <w:sz w:val="24"/>
          <w:szCs w:val="24"/>
          <w:lang w:eastAsia="hu-HU"/>
        </w:rPr>
        <w:t>., pótlása 201</w:t>
      </w:r>
      <w:r w:rsidR="00FD5B20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EB346A">
        <w:rPr>
          <w:rFonts w:ascii="Times New Roman" w:hAnsi="Times New Roman" w:cs="Times New Roman"/>
          <w:sz w:val="24"/>
          <w:szCs w:val="24"/>
          <w:lang w:eastAsia="hu-HU"/>
        </w:rPr>
        <w:t>. május 1</w:t>
      </w:r>
      <w:r w:rsidR="00FD5B20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EB346A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7"/>
          <w:szCs w:val="27"/>
          <w:lang w:eastAsia="hu-HU"/>
        </w:rPr>
        <w:t>Szóbeli</w:t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1C35FB" w:rsidRPr="00FF70F8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0-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49 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>% elégtelen, 5</w:t>
      </w:r>
      <w:r>
        <w:rPr>
          <w:rFonts w:ascii="Times New Roman" w:hAnsi="Times New Roman" w:cs="Times New Roman"/>
          <w:sz w:val="24"/>
          <w:szCs w:val="24"/>
          <w:lang w:eastAsia="hu-HU"/>
        </w:rPr>
        <w:t>0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>-65% elégséges, 66-75% közepes, 76%-85% jó, 86-100% jeles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1C35FB" w:rsidRPr="003F6AD1" w:rsidRDefault="001C35F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Szelektív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gyűjtés módszerei, eszközei, szervezése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Gyűjtőszigetek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>, hulladékudvarok kialakítása, üzemeltetési feladatai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3.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Átrakóállomások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műszaki kialakítása, üzemeltetési feladatai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4.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Válogatóművek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műszaki kialakítása, üzemeltetési feladatai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Mechanikai-biológiai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kezelőművek (MBH) műszaki kialakítása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Mechanikai-biológiai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kezelőművek (MBH) üzemeltetési feladatai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Integrált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>, regionális hulladékgazdálkodási rendszerek Magyarországon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8.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Hulladéklerakók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létesítésének szempontjai, építése (földmunkák, rétegrend)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9.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Hulladéklerakók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csurgalékvízgyűjtő</w:t>
      </w:r>
      <w:proofErr w:type="spell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rendszere, depógáz kezelés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10. hét Tavaszi szünet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11. hét Hulladéklerakók üzemeltetése, monitoring rendszerek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12. hét Hulladéklerakók rekultivációja, utógondozása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13. hét Üzemlátogatás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14. hét ZH</w:t>
      </w:r>
    </w:p>
    <w:p w:rsid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15. hét Pótlás</w:t>
      </w:r>
    </w:p>
    <w:p w:rsidR="001C35FB" w:rsidRPr="00FF70F8" w:rsidRDefault="001C35FB" w:rsidP="00FD5B2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FF70F8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Program (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gyakorlat)</w:t>
      </w:r>
      <w:r w:rsidRPr="00FF70F8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Hulladékgyűjtés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>, szállítási példák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Szállítási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példák, átrakóállomás, számítási példák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3.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Létesítmények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kapacitásszámítása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4.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Hulladékgazdálkodási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létesítmények tervezése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MBH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esettanulmányok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Komplex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hulladékgazdálkodási rendszerek tervezése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Tervezési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feladat kiadása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8.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Anyagismeret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(a lerakók építése rekultivációja során alkalmazott mesterséges anyagok)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9. </w:t>
      </w:r>
      <w:proofErr w:type="gramStart"/>
      <w:r w:rsidRPr="00FD5B20">
        <w:rPr>
          <w:rFonts w:ascii="Times New Roman" w:hAnsi="Times New Roman" w:cs="Times New Roman"/>
          <w:sz w:val="24"/>
          <w:szCs w:val="24"/>
          <w:lang w:eastAsia="hu-HU"/>
        </w:rPr>
        <w:t>hét   Tervezési</w:t>
      </w:r>
      <w:proofErr w:type="gramEnd"/>
      <w:r w:rsidRPr="00FD5B20">
        <w:rPr>
          <w:rFonts w:ascii="Times New Roman" w:hAnsi="Times New Roman" w:cs="Times New Roman"/>
          <w:sz w:val="24"/>
          <w:szCs w:val="24"/>
          <w:lang w:eastAsia="hu-HU"/>
        </w:rPr>
        <w:t xml:space="preserve"> feladat konzultáció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10. hét Tavaszi szünet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11. hét Tervezési feladat prezentáció,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12. hét Hulladéklerakók tervezése (építés, rekultiváció)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13. hét Üzemlátogatás</w:t>
      </w:r>
    </w:p>
    <w:p w:rsidR="00FD5B20" w:rsidRPr="00FD5B20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14. hét Tervezési feladat prezentáció</w:t>
      </w:r>
    </w:p>
    <w:p w:rsidR="001C35FB" w:rsidRPr="002B44D6" w:rsidRDefault="00FD5B20" w:rsidP="00FD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5B20">
        <w:rPr>
          <w:rFonts w:ascii="Times New Roman" w:hAnsi="Times New Roman" w:cs="Times New Roman"/>
          <w:sz w:val="24"/>
          <w:szCs w:val="24"/>
          <w:lang w:eastAsia="hu-HU"/>
        </w:rPr>
        <w:t>15. hét Pótlás</w:t>
      </w:r>
    </w:p>
    <w:sectPr w:rsidR="001C35FB" w:rsidRPr="002B44D6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5A0"/>
    <w:multiLevelType w:val="hybridMultilevel"/>
    <w:tmpl w:val="7DA22008"/>
    <w:lvl w:ilvl="0" w:tplc="59326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29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C1E3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BC6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1EE1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696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D00C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0C2F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25E6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0F003516"/>
    <w:multiLevelType w:val="hybridMultilevel"/>
    <w:tmpl w:val="89EA5446"/>
    <w:lvl w:ilvl="0" w:tplc="9B083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D0AE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77A7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4C08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CF23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8AAA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BB88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BA22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E9C7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100B0D"/>
    <w:rsid w:val="001C35FB"/>
    <w:rsid w:val="001C49E4"/>
    <w:rsid w:val="00272DED"/>
    <w:rsid w:val="0028077C"/>
    <w:rsid w:val="002B44D6"/>
    <w:rsid w:val="0032708A"/>
    <w:rsid w:val="003F6AD1"/>
    <w:rsid w:val="00432C86"/>
    <w:rsid w:val="0047042A"/>
    <w:rsid w:val="004E56C0"/>
    <w:rsid w:val="005104E7"/>
    <w:rsid w:val="005807E1"/>
    <w:rsid w:val="00605FA5"/>
    <w:rsid w:val="00632A36"/>
    <w:rsid w:val="00666874"/>
    <w:rsid w:val="006C311F"/>
    <w:rsid w:val="006C4313"/>
    <w:rsid w:val="00701951"/>
    <w:rsid w:val="00750539"/>
    <w:rsid w:val="0076707C"/>
    <w:rsid w:val="00977DB2"/>
    <w:rsid w:val="00A14D1D"/>
    <w:rsid w:val="00A21F1B"/>
    <w:rsid w:val="00C33EC6"/>
    <w:rsid w:val="00C6465B"/>
    <w:rsid w:val="00C65877"/>
    <w:rsid w:val="00D3761D"/>
    <w:rsid w:val="00D63F3D"/>
    <w:rsid w:val="00EB346A"/>
    <w:rsid w:val="00ED12F1"/>
    <w:rsid w:val="00ED419E"/>
    <w:rsid w:val="00F9137E"/>
    <w:rsid w:val="00FD5B20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BAE3F-EBF1-4667-95A8-694D85D9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B0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vvm.hu/szakmai/hulladekgazd/tervezes_seged/rekultiv-terveze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>PTE PMMiK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subject/>
  <dc:creator>Enviro</dc:creator>
  <cp:keywords/>
  <dc:description/>
  <cp:lastModifiedBy>admin</cp:lastModifiedBy>
  <cp:revision>2</cp:revision>
  <dcterms:created xsi:type="dcterms:W3CDTF">2015-02-04T17:30:00Z</dcterms:created>
  <dcterms:modified xsi:type="dcterms:W3CDTF">2015-02-04T17:30:00Z</dcterms:modified>
</cp:coreProperties>
</file>