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48" w:rsidRPr="00863A36" w:rsidRDefault="00D55FBA"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b/>
          <w:spacing w:val="240"/>
          <w:sz w:val="20"/>
        </w:rPr>
      </w:pPr>
      <w:r>
        <w:rPr>
          <w:rFonts w:ascii="Century Gothic" w:hAnsi="Century Gothic"/>
          <w:b/>
          <w:spacing w:val="240"/>
          <w:sz w:val="20"/>
        </w:rPr>
        <w:t>ENGINEERING PRACTICE IN THE EU</w:t>
      </w:r>
    </w:p>
    <w:p w:rsidR="00870379" w:rsidRPr="004A5C12" w:rsidRDefault="00870379" w:rsidP="00B97B48">
      <w:pPr>
        <w:tabs>
          <w:tab w:val="left" w:pos="-1080"/>
          <w:tab w:val="left" w:pos="-720"/>
          <w:tab w:val="left" w:pos="-360"/>
          <w:tab w:val="left" w:pos="0"/>
          <w:tab w:val="left" w:pos="3600"/>
          <w:tab w:val="left" w:pos="7200"/>
        </w:tabs>
        <w:rPr>
          <w:rFonts w:ascii="Century Gothic" w:hAnsi="Century Gothic"/>
          <w:sz w:val="20"/>
        </w:rPr>
      </w:pPr>
    </w:p>
    <w:p w:rsidR="00870379" w:rsidRPr="004A5C12" w:rsidRDefault="00B97B48"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4A5C12">
        <w:rPr>
          <w:rFonts w:ascii="Century Gothic" w:hAnsi="Century Gothic"/>
          <w:sz w:val="20"/>
        </w:rPr>
        <w:t>Copies of the approved Course Syllabus are located at:</w:t>
      </w:r>
    </w:p>
    <w:p w:rsidR="00B97B48" w:rsidRPr="004A5C12" w:rsidRDefault="00D55FBA"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Pr>
          <w:rFonts w:ascii="Century Gothic" w:hAnsi="Century Gothic"/>
          <w:sz w:val="20"/>
        </w:rPr>
        <w:t>www.m</w:t>
      </w:r>
      <w:r w:rsidR="00B97B48" w:rsidRPr="004A5C12">
        <w:rPr>
          <w:rFonts w:ascii="Century Gothic" w:hAnsi="Century Gothic"/>
          <w:sz w:val="20"/>
        </w:rPr>
        <w:t>ik.pte.hu</w:t>
      </w:r>
    </w:p>
    <w:p w:rsidR="00B97B48" w:rsidRPr="004A5C12" w:rsidRDefault="00B97B48"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p w:rsidR="006B4AD0" w:rsidRPr="004A5C12" w:rsidRDefault="006B4AD0"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bl>
      <w:tblPr>
        <w:tblW w:w="0" w:type="auto"/>
        <w:tblLayout w:type="fixed"/>
        <w:tblLook w:val="04A0"/>
      </w:tblPr>
      <w:tblGrid>
        <w:gridCol w:w="3492"/>
        <w:gridCol w:w="236"/>
        <w:gridCol w:w="6568"/>
      </w:tblGrid>
      <w:tr w:rsidR="00085D09" w:rsidRPr="004A5C12" w:rsidTr="009B15C6">
        <w:tc>
          <w:tcPr>
            <w:tcW w:w="3492" w:type="dxa"/>
          </w:tcPr>
          <w:p w:rsidR="00085D09" w:rsidRPr="004A5C12" w:rsidRDefault="00085D09"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b/>
                <w:sz w:val="20"/>
              </w:rPr>
            </w:pPr>
            <w:r w:rsidRPr="004A5C12">
              <w:rPr>
                <w:rFonts w:ascii="Century Gothic" w:hAnsi="Century Gothic"/>
                <w:b/>
                <w:sz w:val="20"/>
              </w:rPr>
              <w:t>Catalog information:</w:t>
            </w:r>
          </w:p>
        </w:tc>
        <w:tc>
          <w:tcPr>
            <w:tcW w:w="236" w:type="dxa"/>
          </w:tcPr>
          <w:p w:rsidR="00085D09" w:rsidRPr="004A5C12" w:rsidRDefault="00085D09"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c>
        <w:tc>
          <w:tcPr>
            <w:tcW w:w="6568" w:type="dxa"/>
          </w:tcPr>
          <w:p w:rsidR="00085D09" w:rsidRPr="004A5C12" w:rsidRDefault="00085D09" w:rsidP="00085D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4A5C12">
              <w:rPr>
                <w:rFonts w:ascii="Century Gothic" w:hAnsi="Century Gothic"/>
                <w:b/>
                <w:sz w:val="20"/>
              </w:rPr>
              <w:t>Instructor:</w:t>
            </w:r>
          </w:p>
        </w:tc>
      </w:tr>
      <w:tr w:rsidR="00385EAE" w:rsidRPr="00D55FBA" w:rsidTr="009B15C6">
        <w:tc>
          <w:tcPr>
            <w:tcW w:w="3492" w:type="dxa"/>
          </w:tcPr>
          <w:p w:rsidR="00383E5A" w:rsidRPr="004A5C12" w:rsidRDefault="008D442F"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4A5C12">
              <w:rPr>
                <w:rFonts w:ascii="Century Gothic" w:hAnsi="Century Gothic"/>
                <w:sz w:val="20"/>
              </w:rPr>
              <w:t xml:space="preserve">ECTS </w:t>
            </w:r>
            <w:r w:rsidR="00383E5A" w:rsidRPr="004A5C12">
              <w:rPr>
                <w:rFonts w:ascii="Century Gothic" w:hAnsi="Century Gothic"/>
                <w:sz w:val="20"/>
              </w:rPr>
              <w:t xml:space="preserve">credits: </w:t>
            </w:r>
            <w:r w:rsidR="00D55FBA">
              <w:rPr>
                <w:rFonts w:ascii="Century Gothic" w:hAnsi="Century Gothic"/>
                <w:sz w:val="20"/>
              </w:rPr>
              <w:t>2</w:t>
            </w:r>
          </w:p>
        </w:tc>
        <w:tc>
          <w:tcPr>
            <w:tcW w:w="236" w:type="dxa"/>
          </w:tcPr>
          <w:p w:rsidR="00383E5A" w:rsidRPr="004A5C12" w:rsidRDefault="00383E5A"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c>
        <w:tc>
          <w:tcPr>
            <w:tcW w:w="6568" w:type="dxa"/>
          </w:tcPr>
          <w:p w:rsidR="00383E5A" w:rsidRDefault="00D55FBA"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lang w:val="en-GB"/>
              </w:rPr>
            </w:pPr>
            <w:r w:rsidRPr="00D55FBA">
              <w:rPr>
                <w:rFonts w:ascii="Century Gothic" w:hAnsi="Century Gothic"/>
                <w:sz w:val="20"/>
                <w:lang w:val="en-GB"/>
              </w:rPr>
              <w:t>Dr.</w:t>
            </w:r>
            <w:r>
              <w:rPr>
                <w:rFonts w:ascii="Century Gothic" w:hAnsi="Century Gothic"/>
                <w:sz w:val="20"/>
                <w:lang w:val="en-GB"/>
              </w:rPr>
              <w:t xml:space="preserve"> Agnes Lindenbach</w:t>
            </w:r>
            <w:r w:rsidR="00385EAE" w:rsidRPr="00D55FBA">
              <w:rPr>
                <w:rFonts w:ascii="Century Gothic" w:hAnsi="Century Gothic"/>
                <w:sz w:val="20"/>
                <w:lang w:val="en-GB"/>
              </w:rPr>
              <w:t xml:space="preserve">, </w:t>
            </w:r>
            <w:r>
              <w:rPr>
                <w:rFonts w:ascii="Century Gothic" w:hAnsi="Century Gothic"/>
                <w:sz w:val="20"/>
                <w:lang w:val="en-GB"/>
              </w:rPr>
              <w:t>professor</w:t>
            </w:r>
          </w:p>
          <w:p w:rsidR="00C95E63" w:rsidRDefault="00C95E63"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shd w:val="clear" w:color="auto" w:fill="FFFFFF"/>
              </w:rPr>
            </w:pPr>
            <w:r w:rsidRPr="004026D8">
              <w:rPr>
                <w:rFonts w:ascii="Century Gothic" w:hAnsi="Century Gothic"/>
                <w:sz w:val="20"/>
              </w:rPr>
              <w:t xml:space="preserve">Office: </w:t>
            </w:r>
            <w:r w:rsidRPr="004026D8">
              <w:rPr>
                <w:rFonts w:ascii="Century Gothic" w:hAnsi="Century Gothic"/>
                <w:sz w:val="20"/>
                <w:shd w:val="clear" w:color="auto" w:fill="FFFFFF"/>
              </w:rPr>
              <w:t xml:space="preserve">7624 </w:t>
            </w:r>
            <w:smartTag w:uri="urn:schemas-microsoft-com:office:smarttags" w:element="place">
              <w:smartTag w:uri="urn:schemas-microsoft-com:office:smarttags" w:element="country-region">
                <w:r w:rsidRPr="004026D8">
                  <w:rPr>
                    <w:rFonts w:ascii="Century Gothic" w:hAnsi="Century Gothic"/>
                    <w:sz w:val="20"/>
                    <w:shd w:val="clear" w:color="auto" w:fill="FFFFFF"/>
                  </w:rPr>
                  <w:t>Hungary</w:t>
                </w:r>
              </w:smartTag>
            </w:smartTag>
            <w:r w:rsidRPr="004026D8">
              <w:rPr>
                <w:rFonts w:ascii="Century Gothic" w:hAnsi="Century Gothic"/>
                <w:sz w:val="20"/>
                <w:shd w:val="clear" w:color="auto" w:fill="FFFFFF"/>
              </w:rPr>
              <w:t>, Pécs, Boszorkány út 2. B305</w:t>
            </w:r>
          </w:p>
          <w:p w:rsidR="00C95E63" w:rsidRPr="00D55FBA" w:rsidRDefault="00C95E63"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lang w:val="en-GB"/>
              </w:rPr>
            </w:pPr>
            <w:r w:rsidRPr="004026D8">
              <w:rPr>
                <w:rFonts w:ascii="Century Gothic" w:hAnsi="Century Gothic"/>
                <w:sz w:val="20"/>
              </w:rPr>
              <w:t xml:space="preserve">E-mail: </w:t>
            </w:r>
            <w:r w:rsidRPr="004026D8">
              <w:rPr>
                <w:rFonts w:ascii="Century Gothic" w:hAnsi="Century Gothic"/>
                <w:sz w:val="20"/>
                <w:shd w:val="clear" w:color="auto" w:fill="FFFFFF"/>
              </w:rPr>
              <w:t>l</w:t>
            </w:r>
            <w:hyperlink r:id="rId7" w:history="1">
              <w:r w:rsidRPr="004026D8">
                <w:rPr>
                  <w:rFonts w:ascii="Century Gothic" w:hAnsi="Century Gothic"/>
                  <w:sz w:val="20"/>
                  <w:shd w:val="clear" w:color="auto" w:fill="FFFFFF"/>
                </w:rPr>
                <w:t>indenbach.agnes@mik.pte.hu</w:t>
              </w:r>
            </w:hyperlink>
          </w:p>
        </w:tc>
      </w:tr>
      <w:tr w:rsidR="00385EAE" w:rsidRPr="004A5C12" w:rsidTr="009B15C6">
        <w:tc>
          <w:tcPr>
            <w:tcW w:w="3492" w:type="dxa"/>
          </w:tcPr>
          <w:p w:rsidR="00383E5A" w:rsidRPr="004A5C12" w:rsidRDefault="00383E5A"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4A5C12">
              <w:rPr>
                <w:rFonts w:ascii="Century Gothic" w:hAnsi="Century Gothic"/>
                <w:sz w:val="20"/>
              </w:rPr>
              <w:t>course number:</w:t>
            </w:r>
            <w:r w:rsidR="00D55FBA">
              <w:rPr>
                <w:rFonts w:ascii="Century Gothic" w:hAnsi="Century Gothic"/>
                <w:sz w:val="20"/>
              </w:rPr>
              <w:t xml:space="preserve"> </w:t>
            </w:r>
            <w:r w:rsidR="00D55FBA" w:rsidRPr="00D55FBA">
              <w:rPr>
                <w:rFonts w:ascii="Century Gothic" w:hAnsi="Century Gothic"/>
                <w:sz w:val="20"/>
              </w:rPr>
              <w:t>PMKMENE140A</w:t>
            </w:r>
          </w:p>
        </w:tc>
        <w:tc>
          <w:tcPr>
            <w:tcW w:w="236" w:type="dxa"/>
          </w:tcPr>
          <w:p w:rsidR="00383E5A" w:rsidRPr="004A5C12" w:rsidRDefault="00383E5A"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c>
        <w:tc>
          <w:tcPr>
            <w:tcW w:w="6568" w:type="dxa"/>
          </w:tcPr>
          <w:p w:rsidR="00C95E63" w:rsidRPr="00C95E63" w:rsidRDefault="00C95E63"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b/>
                <w:sz w:val="20"/>
                <w:lang w:val="en-GB"/>
              </w:rPr>
            </w:pPr>
            <w:r w:rsidRPr="00C95E63">
              <w:rPr>
                <w:rFonts w:ascii="Century Gothic" w:hAnsi="Century Gothic"/>
                <w:b/>
                <w:sz w:val="20"/>
                <w:lang w:val="en-GB"/>
              </w:rPr>
              <w:t>Lecturers:</w:t>
            </w:r>
          </w:p>
          <w:p w:rsidR="00383E5A" w:rsidRPr="004026D8" w:rsidRDefault="00C95E63"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C95E63">
              <w:rPr>
                <w:rFonts w:ascii="Century Gothic" w:hAnsi="Century Gothic"/>
                <w:sz w:val="20"/>
                <w:lang w:val="en-GB"/>
              </w:rPr>
              <w:t>Dr András TÍMÁR, professor emeritus</w:t>
            </w:r>
            <w:r w:rsidRPr="00C95E63">
              <w:rPr>
                <w:rFonts w:ascii="Century Gothic" w:hAnsi="Century Gothic"/>
                <w:sz w:val="20"/>
                <w:lang w:val="en-GB"/>
              </w:rPr>
              <w:br/>
              <w:t xml:space="preserve">Office: 7624 </w:t>
            </w:r>
            <w:smartTag w:uri="urn:schemas-microsoft-com:office:smarttags" w:element="place">
              <w:smartTag w:uri="urn:schemas-microsoft-com:office:smarttags" w:element="country-region">
                <w:r w:rsidRPr="00C95E63">
                  <w:rPr>
                    <w:rFonts w:ascii="Century Gothic" w:hAnsi="Century Gothic"/>
                    <w:sz w:val="20"/>
                    <w:lang w:val="en-GB"/>
                  </w:rPr>
                  <w:t>Hungary</w:t>
                </w:r>
              </w:smartTag>
            </w:smartTag>
            <w:r w:rsidRPr="00C95E63">
              <w:rPr>
                <w:rFonts w:ascii="Century Gothic" w:hAnsi="Century Gothic"/>
                <w:sz w:val="20"/>
                <w:lang w:val="en-GB"/>
              </w:rPr>
              <w:t>, Pécs, Boszorkány u. 2. Office No B</w:t>
            </w:r>
            <w:r w:rsidR="00935090">
              <w:rPr>
                <w:rFonts w:ascii="Century Gothic" w:hAnsi="Century Gothic"/>
                <w:sz w:val="20"/>
                <w:lang w:val="en-GB"/>
              </w:rPr>
              <w:t>305</w:t>
            </w:r>
            <w:r w:rsidRPr="00C95E63">
              <w:rPr>
                <w:rFonts w:ascii="Century Gothic" w:hAnsi="Century Gothic"/>
                <w:sz w:val="20"/>
                <w:lang w:val="en-GB"/>
              </w:rPr>
              <w:br/>
              <w:t>E-mail: timara@hu.inter.net</w:t>
            </w:r>
            <w:r w:rsidRPr="00C95E63">
              <w:rPr>
                <w:rFonts w:ascii="Century Gothic" w:hAnsi="Century Gothic"/>
                <w:sz w:val="20"/>
                <w:lang w:val="en-GB"/>
              </w:rPr>
              <w:br/>
              <w:t>Office Phone: +36 72 503 650 – 22844</w:t>
            </w:r>
          </w:p>
        </w:tc>
      </w:tr>
      <w:tr w:rsidR="00385EAE" w:rsidRPr="004A5C12" w:rsidTr="009B15C6">
        <w:tc>
          <w:tcPr>
            <w:tcW w:w="3492" w:type="dxa"/>
          </w:tcPr>
          <w:p w:rsidR="00383E5A" w:rsidRPr="004A5C12" w:rsidRDefault="00383E5A"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4A5C12">
              <w:rPr>
                <w:rFonts w:ascii="Century Gothic" w:hAnsi="Century Gothic"/>
                <w:sz w:val="20"/>
              </w:rPr>
              <w:t>prerequisites:</w:t>
            </w:r>
            <w:r w:rsidR="00F459DC">
              <w:rPr>
                <w:rFonts w:ascii="Century Gothic" w:hAnsi="Century Gothic"/>
                <w:sz w:val="20"/>
              </w:rPr>
              <w:t xml:space="preserve"> - </w:t>
            </w:r>
          </w:p>
        </w:tc>
        <w:tc>
          <w:tcPr>
            <w:tcW w:w="236" w:type="dxa"/>
          </w:tcPr>
          <w:p w:rsidR="00383E5A" w:rsidRPr="004A5C12" w:rsidRDefault="00383E5A"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c>
        <w:tc>
          <w:tcPr>
            <w:tcW w:w="6568" w:type="dxa"/>
          </w:tcPr>
          <w:p w:rsidR="00383E5A" w:rsidRDefault="00C95E63"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Pr>
                <w:rFonts w:ascii="Century Gothic" w:hAnsi="Century Gothic"/>
                <w:sz w:val="20"/>
              </w:rPr>
              <w:t>Dr. András Gulyás, associate professor</w:t>
            </w:r>
          </w:p>
          <w:p w:rsidR="00C95E63" w:rsidRPr="004026D8" w:rsidRDefault="00C95E63"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Pr>
                <w:rFonts w:ascii="Century Gothic" w:hAnsi="Century Gothic"/>
                <w:sz w:val="20"/>
              </w:rPr>
              <w:t>gulyas. andras@mik.pte.hu</w:t>
            </w:r>
          </w:p>
        </w:tc>
      </w:tr>
      <w:tr w:rsidR="00385EAE" w:rsidRPr="004A5C12" w:rsidTr="009B15C6">
        <w:tc>
          <w:tcPr>
            <w:tcW w:w="3492" w:type="dxa"/>
          </w:tcPr>
          <w:p w:rsidR="00383E5A" w:rsidRPr="004A5C12" w:rsidRDefault="008D442F"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r w:rsidRPr="00F459DC">
              <w:rPr>
                <w:rFonts w:ascii="Century Gothic" w:hAnsi="Century Gothic"/>
                <w:sz w:val="20"/>
              </w:rPr>
              <w:t xml:space="preserve">allotment of hours per week: </w:t>
            </w:r>
            <w:smartTag w:uri="urn:schemas-microsoft-com:office:smarttags" w:element="metricconverter">
              <w:smartTagPr>
                <w:attr w:name="ProductID" w:val="2 L"/>
              </w:smartTagPr>
              <w:r w:rsidR="00D55FBA" w:rsidRPr="00F459DC">
                <w:rPr>
                  <w:rFonts w:ascii="Century Gothic" w:hAnsi="Century Gothic"/>
                  <w:sz w:val="20"/>
                </w:rPr>
                <w:t>2</w:t>
              </w:r>
              <w:r w:rsidRPr="00F459DC">
                <w:rPr>
                  <w:rFonts w:ascii="Century Gothic" w:hAnsi="Century Gothic"/>
                  <w:sz w:val="20"/>
                </w:rPr>
                <w:t xml:space="preserve"> L</w:t>
              </w:r>
            </w:smartTag>
            <w:r w:rsidRPr="00F459DC">
              <w:rPr>
                <w:rFonts w:ascii="Century Gothic" w:hAnsi="Century Gothic"/>
                <w:sz w:val="20"/>
              </w:rPr>
              <w:t xml:space="preserve">, </w:t>
            </w:r>
            <w:r w:rsidR="00D55FBA" w:rsidRPr="00F459DC">
              <w:rPr>
                <w:rFonts w:ascii="Century Gothic" w:hAnsi="Century Gothic"/>
                <w:sz w:val="20"/>
              </w:rPr>
              <w:t>0</w:t>
            </w:r>
            <w:r w:rsidRPr="00F459DC">
              <w:rPr>
                <w:rFonts w:ascii="Century Gothic" w:hAnsi="Century Gothic"/>
                <w:sz w:val="20"/>
              </w:rPr>
              <w:t xml:space="preserve"> P</w:t>
            </w:r>
            <w:r w:rsidR="00F459DC">
              <w:rPr>
                <w:rFonts w:ascii="Century Gothic" w:hAnsi="Century Gothic"/>
                <w:sz w:val="20"/>
              </w:rPr>
              <w:t xml:space="preserve"> (see schedule)</w:t>
            </w:r>
          </w:p>
        </w:tc>
        <w:tc>
          <w:tcPr>
            <w:tcW w:w="236" w:type="dxa"/>
          </w:tcPr>
          <w:p w:rsidR="00383E5A" w:rsidRPr="004A5C12" w:rsidRDefault="00383E5A" w:rsidP="00383E5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c>
        <w:tc>
          <w:tcPr>
            <w:tcW w:w="6568" w:type="dxa"/>
          </w:tcPr>
          <w:p w:rsidR="00383E5A" w:rsidRPr="004026D8" w:rsidRDefault="00383E5A" w:rsidP="00385EA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tc>
      </w:tr>
    </w:tbl>
    <w:p w:rsidR="00870379" w:rsidRPr="004A5C12" w:rsidRDefault="00870379"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p w:rsidR="006B4AD0" w:rsidRPr="004A5C12" w:rsidRDefault="006B4AD0" w:rsidP="00B97B4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Century Gothic" w:hAnsi="Century Gothic"/>
          <w:sz w:val="20"/>
        </w:rPr>
      </w:pPr>
    </w:p>
    <w:p w:rsidR="00870379" w:rsidRPr="00BA1C5D" w:rsidRDefault="00652B40" w:rsidP="00B97B48">
      <w:pPr>
        <w:tabs>
          <w:tab w:val="right" w:pos="10080"/>
        </w:tabs>
        <w:rPr>
          <w:rFonts w:ascii="Century Gothic" w:hAnsi="Century Gothic"/>
          <w:b/>
          <w:sz w:val="20"/>
        </w:rPr>
      </w:pPr>
      <w:r w:rsidRPr="00BA1C5D">
        <w:rPr>
          <w:rFonts w:ascii="Century Gothic" w:hAnsi="Century Gothic"/>
          <w:b/>
          <w:sz w:val="20"/>
        </w:rPr>
        <w:t>General</w:t>
      </w:r>
      <w:r w:rsidR="00870379" w:rsidRPr="00BA1C5D">
        <w:rPr>
          <w:rFonts w:ascii="Century Gothic" w:hAnsi="Century Gothic"/>
          <w:b/>
          <w:sz w:val="20"/>
        </w:rPr>
        <w:t xml:space="preserve"> Course Description:</w:t>
      </w:r>
    </w:p>
    <w:p w:rsidR="00832505" w:rsidRPr="00BA1C5D" w:rsidRDefault="00832505" w:rsidP="00832505">
      <w:pPr>
        <w:pStyle w:val="font8"/>
        <w:spacing w:before="0" w:beforeAutospacing="0" w:after="0" w:afterAutospacing="0"/>
        <w:jc w:val="both"/>
        <w:rPr>
          <w:rFonts w:ascii="Century Gothic" w:hAnsi="Century Gothic"/>
          <w:bCs/>
          <w:snapToGrid w:val="0"/>
          <w:sz w:val="20"/>
          <w:szCs w:val="20"/>
          <w:lang w:val="en-GB" w:eastAsia="en-US"/>
        </w:rPr>
      </w:pPr>
      <w:r w:rsidRPr="00BA1C5D">
        <w:rPr>
          <w:rFonts w:ascii="Century Gothic" w:hAnsi="Century Gothic"/>
          <w:bCs/>
          <w:snapToGrid w:val="0"/>
          <w:sz w:val="20"/>
          <w:szCs w:val="20"/>
          <w:lang w:val="en-GB" w:eastAsia="en-US"/>
        </w:rPr>
        <w:t>The aim of the course is to introduce students to the system of professional engineering licences, the role and operation of the chambers of commerce and professional associations, the forms and possibilities of training and further education through examples from different countries.</w:t>
      </w:r>
    </w:p>
    <w:p w:rsidR="00D55FBA" w:rsidRPr="00BA1C5D" w:rsidRDefault="00D55FBA" w:rsidP="00D55FBA">
      <w:pPr>
        <w:rPr>
          <w:rFonts w:ascii="Century Gothic" w:hAnsi="Century Gothic"/>
          <w:bCs/>
          <w:sz w:val="20"/>
        </w:rPr>
      </w:pPr>
      <w:r w:rsidRPr="00BA1C5D">
        <w:rPr>
          <w:rFonts w:ascii="Century Gothic" w:hAnsi="Century Gothic"/>
          <w:bCs/>
          <w:sz w:val="20"/>
          <w:lang w:val="en-GB"/>
        </w:rPr>
        <w:t>Course content:</w:t>
      </w:r>
      <w:r w:rsidRPr="00BA1C5D">
        <w:rPr>
          <w:rFonts w:ascii="Century Gothic" w:hAnsi="Century Gothic"/>
          <w:bCs/>
          <w:sz w:val="20"/>
          <w:lang w:val="en-GB"/>
        </w:rPr>
        <w:br/>
        <w:t>A brief history of the EU, the institutional system of education in the EU, training policies. Opportunities for</w:t>
      </w:r>
      <w:r w:rsidRPr="00BA1C5D">
        <w:rPr>
          <w:rFonts w:ascii="Century Gothic" w:hAnsi="Century Gothic"/>
          <w:bCs/>
          <w:sz w:val="20"/>
        </w:rPr>
        <w:t xml:space="preserve"> engineering education and further education inside and outside EU countries. The dual training system in higher education. The recognition of academic qualifications and degrees. Regulation and licensure in engineering. The role and operation of the chambers of commerce, the system of traineeship, chamber membership.</w:t>
      </w:r>
    </w:p>
    <w:p w:rsidR="00D55FBA" w:rsidRPr="00BA1C5D" w:rsidRDefault="00D55FBA" w:rsidP="00D55FBA">
      <w:pPr>
        <w:ind w:left="360"/>
        <w:rPr>
          <w:rFonts w:ascii="Century Gothic" w:hAnsi="Century Gothic"/>
          <w:bCs/>
          <w:sz w:val="20"/>
        </w:rPr>
      </w:pPr>
      <w:r w:rsidRPr="00BA1C5D">
        <w:rPr>
          <w:rFonts w:ascii="Century Gothic" w:hAnsi="Century Gothic"/>
          <w:bCs/>
          <w:sz w:val="20"/>
        </w:rPr>
        <w:sym w:font="Symbol" w:char="F0B7"/>
      </w:r>
      <w:r w:rsidRPr="00BA1C5D">
        <w:rPr>
          <w:rFonts w:ascii="Century Gothic" w:hAnsi="Century Gothic"/>
          <w:bCs/>
          <w:sz w:val="20"/>
        </w:rPr>
        <w:t xml:space="preserve"> International Engineering Technologist Agreement.</w:t>
      </w:r>
    </w:p>
    <w:p w:rsidR="006B4AD0" w:rsidRPr="00BA1C5D" w:rsidRDefault="00D55FBA" w:rsidP="00D55FBA">
      <w:pPr>
        <w:ind w:left="360"/>
        <w:rPr>
          <w:rFonts w:ascii="Century Gothic" w:hAnsi="Century Gothic"/>
          <w:bCs/>
          <w:sz w:val="20"/>
        </w:rPr>
      </w:pPr>
      <w:r w:rsidRPr="00BA1C5D">
        <w:rPr>
          <w:rFonts w:ascii="Century Gothic" w:hAnsi="Century Gothic"/>
          <w:bCs/>
          <w:sz w:val="20"/>
        </w:rPr>
        <w:sym w:font="Symbol" w:char="F0B7"/>
      </w:r>
      <w:r w:rsidRPr="00BA1C5D">
        <w:rPr>
          <w:rFonts w:ascii="Century Gothic" w:hAnsi="Century Gothic"/>
          <w:bCs/>
          <w:sz w:val="20"/>
        </w:rPr>
        <w:t xml:space="preserve"> Graduate Attributes and Professional Competencies.</w:t>
      </w:r>
    </w:p>
    <w:p w:rsidR="006B4AD0" w:rsidRDefault="006B4AD0" w:rsidP="008D442F">
      <w:pPr>
        <w:jc w:val="both"/>
        <w:rPr>
          <w:rFonts w:ascii="Century Gothic" w:hAnsi="Century Gothic"/>
          <w:sz w:val="20"/>
          <w:lang w:val="en-GB"/>
        </w:rPr>
      </w:pPr>
    </w:p>
    <w:p w:rsidR="00BA1C5D" w:rsidRPr="00BA1C5D" w:rsidRDefault="00BA1C5D" w:rsidP="008D442F">
      <w:pPr>
        <w:jc w:val="both"/>
        <w:rPr>
          <w:rFonts w:ascii="Century Gothic" w:hAnsi="Century Gothic"/>
          <w:sz w:val="20"/>
          <w:lang w:val="en-GB"/>
        </w:rPr>
      </w:pPr>
    </w:p>
    <w:p w:rsidR="00870379" w:rsidRPr="00BA1C5D" w:rsidRDefault="003E511E" w:rsidP="00B97B48">
      <w:pPr>
        <w:jc w:val="both"/>
        <w:rPr>
          <w:rFonts w:ascii="Century Gothic" w:hAnsi="Century Gothic"/>
          <w:b/>
          <w:sz w:val="20"/>
        </w:rPr>
      </w:pPr>
      <w:r w:rsidRPr="00BA1C5D">
        <w:rPr>
          <w:rFonts w:ascii="Century Gothic" w:hAnsi="Century Gothic"/>
          <w:b/>
          <w:sz w:val="20"/>
        </w:rPr>
        <w:t>Methods:</w:t>
      </w:r>
    </w:p>
    <w:p w:rsidR="00870379" w:rsidRPr="00BA1C5D" w:rsidRDefault="00D55FBA" w:rsidP="00B97B48">
      <w:pPr>
        <w:tabs>
          <w:tab w:val="right" w:pos="10080"/>
        </w:tabs>
        <w:rPr>
          <w:rFonts w:ascii="Century Gothic" w:hAnsi="Century Gothic"/>
          <w:bCs/>
          <w:sz w:val="20"/>
        </w:rPr>
      </w:pPr>
      <w:r w:rsidRPr="00F459DC">
        <w:rPr>
          <w:rFonts w:ascii="Century Gothic" w:hAnsi="Century Gothic"/>
          <w:bCs/>
          <w:sz w:val="20"/>
        </w:rPr>
        <w:t>The course is based on lectures with ppt presentations.</w:t>
      </w:r>
    </w:p>
    <w:p w:rsidR="006B4AD0" w:rsidRDefault="006B4AD0" w:rsidP="00B97B48">
      <w:pPr>
        <w:tabs>
          <w:tab w:val="right" w:pos="10080"/>
        </w:tabs>
        <w:rPr>
          <w:rFonts w:ascii="Century Gothic" w:hAnsi="Century Gothic"/>
          <w:b/>
          <w:sz w:val="20"/>
        </w:rPr>
      </w:pPr>
    </w:p>
    <w:p w:rsidR="00BA1C5D" w:rsidRDefault="00BA1C5D" w:rsidP="00B97B48">
      <w:pPr>
        <w:tabs>
          <w:tab w:val="right" w:pos="10080"/>
        </w:tabs>
        <w:rPr>
          <w:rFonts w:ascii="Century Gothic" w:hAnsi="Century Gothic"/>
          <w:b/>
          <w:sz w:val="20"/>
        </w:rPr>
      </w:pPr>
    </w:p>
    <w:p w:rsidR="00870379" w:rsidRPr="00F459DC" w:rsidRDefault="00265BCD" w:rsidP="00B97B48">
      <w:pPr>
        <w:tabs>
          <w:tab w:val="right" w:pos="10080"/>
        </w:tabs>
        <w:rPr>
          <w:rFonts w:ascii="Century Gothic" w:hAnsi="Century Gothic"/>
          <w:b/>
          <w:sz w:val="20"/>
        </w:rPr>
      </w:pPr>
      <w:r w:rsidRPr="00F459DC">
        <w:rPr>
          <w:rFonts w:ascii="Century Gothic" w:hAnsi="Century Gothic"/>
          <w:b/>
          <w:sz w:val="20"/>
        </w:rPr>
        <w:t>Learning Objectives:</w:t>
      </w:r>
    </w:p>
    <w:p w:rsidR="00F459DC" w:rsidRPr="00A5225E" w:rsidRDefault="008A49B8" w:rsidP="00F459DC">
      <w:pPr>
        <w:pStyle w:val="font8"/>
        <w:spacing w:before="0" w:beforeAutospacing="0" w:after="0" w:afterAutospacing="0"/>
        <w:jc w:val="both"/>
        <w:rPr>
          <w:rFonts w:ascii="Century Gothic" w:hAnsi="Century Gothic"/>
          <w:bCs/>
          <w:snapToGrid w:val="0"/>
          <w:sz w:val="20"/>
          <w:szCs w:val="20"/>
          <w:lang w:val="en-US" w:eastAsia="en-US"/>
        </w:rPr>
      </w:pPr>
      <w:r w:rsidRPr="00A5225E">
        <w:rPr>
          <w:rFonts w:ascii="Century Gothic" w:hAnsi="Century Gothic"/>
          <w:bCs/>
          <w:snapToGrid w:val="0"/>
          <w:sz w:val="20"/>
          <w:szCs w:val="20"/>
          <w:lang w:val="en-US" w:eastAsia="en-US"/>
        </w:rPr>
        <w:t xml:space="preserve">The </w:t>
      </w:r>
      <w:r w:rsidR="00A5225E" w:rsidRPr="00A5225E">
        <w:rPr>
          <w:rFonts w:ascii="Century Gothic" w:hAnsi="Century Gothic"/>
          <w:bCs/>
          <w:snapToGrid w:val="0"/>
          <w:sz w:val="20"/>
          <w:szCs w:val="20"/>
          <w:lang w:val="en-US" w:eastAsia="en-US"/>
        </w:rPr>
        <w:t>objectives</w:t>
      </w:r>
      <w:r w:rsidRPr="00A5225E">
        <w:rPr>
          <w:rFonts w:ascii="Century Gothic" w:hAnsi="Century Gothic"/>
          <w:bCs/>
          <w:snapToGrid w:val="0"/>
          <w:sz w:val="20"/>
          <w:szCs w:val="20"/>
          <w:lang w:val="en-US" w:eastAsia="en-US"/>
        </w:rPr>
        <w:t xml:space="preserve"> of the European economic and political integration, </w:t>
      </w:r>
      <w:r w:rsidR="00A5225E">
        <w:rPr>
          <w:rFonts w:ascii="Century Gothic" w:hAnsi="Century Gothic"/>
          <w:bCs/>
          <w:snapToGrid w:val="0"/>
          <w:sz w:val="20"/>
          <w:szCs w:val="20"/>
          <w:lang w:val="en-US" w:eastAsia="en-US"/>
        </w:rPr>
        <w:t>brief</w:t>
      </w:r>
      <w:r w:rsidRPr="00A5225E">
        <w:rPr>
          <w:rFonts w:ascii="Century Gothic" w:hAnsi="Century Gothic"/>
          <w:bCs/>
          <w:snapToGrid w:val="0"/>
          <w:sz w:val="20"/>
          <w:szCs w:val="20"/>
          <w:lang w:val="en-US" w:eastAsia="en-US"/>
        </w:rPr>
        <w:t xml:space="preserve"> history of the EU. Institutional and decision-making systems and budget of the EU. The European Monetary </w:t>
      </w:r>
      <w:smartTag w:uri="urn:schemas-microsoft-com:office:smarttags" w:element="place">
        <w:r w:rsidRPr="00A5225E">
          <w:rPr>
            <w:rFonts w:ascii="Century Gothic" w:hAnsi="Century Gothic"/>
            <w:bCs/>
            <w:snapToGrid w:val="0"/>
            <w:sz w:val="20"/>
            <w:szCs w:val="20"/>
            <w:lang w:val="en-US" w:eastAsia="en-US"/>
          </w:rPr>
          <w:t>Union</w:t>
        </w:r>
      </w:smartTag>
      <w:r w:rsidRPr="00A5225E">
        <w:rPr>
          <w:rFonts w:ascii="Century Gothic" w:hAnsi="Century Gothic"/>
          <w:bCs/>
          <w:snapToGrid w:val="0"/>
          <w:sz w:val="20"/>
          <w:szCs w:val="20"/>
          <w:lang w:val="en-US" w:eastAsia="en-US"/>
        </w:rPr>
        <w:t>. Development and future of the Euro, responses to the economic crisis.</w:t>
      </w:r>
    </w:p>
    <w:p w:rsidR="00A5225E" w:rsidRDefault="00A5225E" w:rsidP="00F459DC">
      <w:pPr>
        <w:pStyle w:val="font8"/>
        <w:spacing w:before="0" w:beforeAutospacing="0" w:after="0" w:afterAutospacing="0"/>
        <w:jc w:val="both"/>
        <w:rPr>
          <w:rFonts w:ascii="Century Gothic" w:hAnsi="Century Gothic"/>
          <w:bCs/>
          <w:snapToGrid w:val="0"/>
          <w:sz w:val="20"/>
          <w:szCs w:val="20"/>
          <w:lang w:val="en-US" w:eastAsia="en-US"/>
        </w:rPr>
      </w:pPr>
      <w:r w:rsidRPr="00A5225E">
        <w:rPr>
          <w:rFonts w:ascii="Century Gothic" w:hAnsi="Century Gothic"/>
          <w:bCs/>
          <w:snapToGrid w:val="0"/>
          <w:sz w:val="20"/>
          <w:szCs w:val="20"/>
          <w:lang w:val="en-US" w:eastAsia="en-US"/>
        </w:rPr>
        <w:t xml:space="preserve">The Regional, Structural and Cohesion Policy of the EU. Supporting/financing systems of the EU. </w:t>
      </w:r>
    </w:p>
    <w:p w:rsidR="00F459DC" w:rsidRPr="00A5225E" w:rsidRDefault="00A5225E" w:rsidP="00F459DC">
      <w:pPr>
        <w:pStyle w:val="font8"/>
        <w:spacing w:before="0" w:beforeAutospacing="0" w:after="0" w:afterAutospacing="0"/>
        <w:jc w:val="both"/>
        <w:rPr>
          <w:rFonts w:ascii="Century Gothic" w:hAnsi="Century Gothic"/>
          <w:bCs/>
          <w:snapToGrid w:val="0"/>
          <w:sz w:val="20"/>
          <w:szCs w:val="20"/>
          <w:lang w:val="en-GB" w:eastAsia="en-US"/>
        </w:rPr>
      </w:pPr>
      <w:r w:rsidRPr="00A5225E">
        <w:rPr>
          <w:rFonts w:ascii="Century Gothic" w:hAnsi="Century Gothic"/>
          <w:bCs/>
          <w:snapToGrid w:val="0"/>
          <w:sz w:val="20"/>
          <w:szCs w:val="20"/>
          <w:lang w:val="en-US" w:eastAsia="en-US"/>
        </w:rPr>
        <w:t xml:space="preserve">Infrastructure policy of the EU, co-operation of the national networks (interoperability). </w:t>
      </w:r>
    </w:p>
    <w:p w:rsidR="00F459DC" w:rsidRPr="00A5225E" w:rsidRDefault="00A5225E" w:rsidP="00F459DC">
      <w:pPr>
        <w:pStyle w:val="font8"/>
        <w:spacing w:before="0" w:beforeAutospacing="0" w:after="0" w:afterAutospacing="0"/>
        <w:jc w:val="both"/>
        <w:rPr>
          <w:rFonts w:ascii="Century Gothic" w:hAnsi="Century Gothic"/>
          <w:bCs/>
          <w:snapToGrid w:val="0"/>
          <w:sz w:val="20"/>
          <w:szCs w:val="20"/>
          <w:lang w:val="en-GB" w:eastAsia="en-US"/>
        </w:rPr>
      </w:pPr>
      <w:r w:rsidRPr="00A5225E">
        <w:rPr>
          <w:rFonts w:ascii="Century Gothic" w:hAnsi="Century Gothic"/>
          <w:bCs/>
          <w:snapToGrid w:val="0"/>
          <w:sz w:val="20"/>
          <w:szCs w:val="20"/>
          <w:lang w:val="en-GB" w:eastAsia="en-US"/>
        </w:rPr>
        <w:t xml:space="preserve">Preparation and implementation of the infrastructure projects that requires EU supports. </w:t>
      </w:r>
    </w:p>
    <w:p w:rsidR="00F459DC" w:rsidRPr="00F459DC" w:rsidRDefault="00A5225E" w:rsidP="00F459DC">
      <w:pPr>
        <w:pStyle w:val="font8"/>
        <w:spacing w:before="0" w:beforeAutospacing="0" w:after="0" w:afterAutospacing="0"/>
        <w:jc w:val="both"/>
        <w:rPr>
          <w:rFonts w:ascii="Century Gothic" w:hAnsi="Century Gothic"/>
          <w:bCs/>
          <w:snapToGrid w:val="0"/>
          <w:sz w:val="20"/>
          <w:szCs w:val="20"/>
          <w:lang w:val="en-GB" w:eastAsia="en-US"/>
        </w:rPr>
      </w:pPr>
      <w:r w:rsidRPr="00A5225E">
        <w:rPr>
          <w:rFonts w:ascii="Century Gothic" w:hAnsi="Century Gothic"/>
          <w:bCs/>
          <w:snapToGrid w:val="0"/>
          <w:sz w:val="20"/>
          <w:szCs w:val="20"/>
          <w:lang w:val="en-GB" w:eastAsia="en-US"/>
        </w:rPr>
        <w:lastRenderedPageBreak/>
        <w:t xml:space="preserve">Development of the European transport and the common transport policy of the EU, Trans-European Transport Network </w:t>
      </w:r>
      <w:r w:rsidR="00F459DC" w:rsidRPr="00A5225E">
        <w:rPr>
          <w:rFonts w:ascii="Century Gothic" w:hAnsi="Century Gothic"/>
          <w:bCs/>
          <w:snapToGrid w:val="0"/>
          <w:sz w:val="20"/>
          <w:szCs w:val="20"/>
          <w:lang w:val="en-GB" w:eastAsia="en-US"/>
        </w:rPr>
        <w:t>(TEN-T)</w:t>
      </w:r>
      <w:r w:rsidR="00F459DC" w:rsidRPr="00F459DC">
        <w:rPr>
          <w:rFonts w:ascii="Century Gothic" w:hAnsi="Century Gothic"/>
          <w:bCs/>
          <w:snapToGrid w:val="0"/>
          <w:sz w:val="20"/>
          <w:szCs w:val="20"/>
          <w:lang w:val="en-GB" w:eastAsia="en-US"/>
        </w:rPr>
        <w:t xml:space="preserve"> </w:t>
      </w:r>
    </w:p>
    <w:p w:rsidR="00265BCD" w:rsidRDefault="00265BCD" w:rsidP="00B97B48">
      <w:pPr>
        <w:tabs>
          <w:tab w:val="right" w:pos="10080"/>
        </w:tabs>
        <w:rPr>
          <w:rFonts w:ascii="Century Gothic" w:hAnsi="Century Gothic"/>
          <w:b/>
          <w:sz w:val="20"/>
        </w:rPr>
      </w:pPr>
    </w:p>
    <w:p w:rsidR="00BA1C5D" w:rsidRPr="004A5C12" w:rsidRDefault="00BA1C5D" w:rsidP="00B97B48">
      <w:pPr>
        <w:tabs>
          <w:tab w:val="right" w:pos="10080"/>
        </w:tabs>
        <w:rPr>
          <w:rFonts w:ascii="Century Gothic" w:hAnsi="Century Gothic"/>
          <w:b/>
          <w:sz w:val="20"/>
        </w:rPr>
      </w:pPr>
    </w:p>
    <w:p w:rsidR="006B4AD0" w:rsidRPr="00BA1C5D" w:rsidRDefault="006B4AD0" w:rsidP="00BA1C5D">
      <w:pPr>
        <w:keepNext/>
        <w:tabs>
          <w:tab w:val="right" w:pos="10080"/>
        </w:tabs>
        <w:rPr>
          <w:rFonts w:ascii="Century Gothic" w:hAnsi="Century Gothic"/>
          <w:b/>
          <w:sz w:val="20"/>
        </w:rPr>
      </w:pPr>
      <w:r w:rsidRPr="00BA1C5D">
        <w:rPr>
          <w:rFonts w:ascii="Century Gothic" w:hAnsi="Century Gothic"/>
          <w:b/>
          <w:sz w:val="20"/>
        </w:rPr>
        <w:t>Process:</w:t>
      </w:r>
    </w:p>
    <w:p w:rsidR="005A4F7D" w:rsidRPr="00BA1C5D" w:rsidRDefault="005A4F7D" w:rsidP="005A4F7D">
      <w:pPr>
        <w:rPr>
          <w:rFonts w:ascii="Century Gothic" w:hAnsi="Century Gothic"/>
          <w:bCs/>
          <w:sz w:val="20"/>
        </w:rPr>
      </w:pPr>
      <w:r w:rsidRPr="00BA1C5D">
        <w:rPr>
          <w:rFonts w:ascii="Century Gothic" w:hAnsi="Century Gothic"/>
          <w:bCs/>
          <w:sz w:val="20"/>
        </w:rPr>
        <w:t xml:space="preserve">In the semester students should also make a presentation about the engineering licences, the role and operation of the chambers of commerce and professional associations in their own country. A discussion is planned comparing the different tools and methods applied in the different countries and in </w:t>
      </w:r>
      <w:smartTag w:uri="urn:schemas-microsoft-com:office:smarttags" w:element="place">
        <w:smartTag w:uri="urn:schemas-microsoft-com:office:smarttags" w:element="country-region">
          <w:r w:rsidRPr="00BA1C5D">
            <w:rPr>
              <w:rFonts w:ascii="Century Gothic" w:hAnsi="Century Gothic"/>
              <w:bCs/>
              <w:sz w:val="20"/>
            </w:rPr>
            <w:t>Hungary</w:t>
          </w:r>
        </w:smartTag>
      </w:smartTag>
      <w:r w:rsidRPr="00BA1C5D">
        <w:rPr>
          <w:rFonts w:ascii="Century Gothic" w:hAnsi="Century Gothic"/>
          <w:bCs/>
          <w:sz w:val="20"/>
        </w:rPr>
        <w:t>.</w:t>
      </w:r>
      <w:r w:rsidRPr="00BA1C5D">
        <w:rPr>
          <w:rFonts w:ascii="Century Gothic" w:hAnsi="Century Gothic"/>
          <w:bCs/>
          <w:sz w:val="20"/>
        </w:rPr>
        <w:br/>
        <w:t>Students should make semester task. The semester task is going to be about to prove the understanding the European norms and be able to use the learned materials in practice. Since during the semester they are going to make presentations about the institutions and practice of their own country, at the end of the course they should be able to write paper about EU related topics, that have been thought but also to make detailed research about the selected topics. The topic of the final paper will combine the practice and the theoretical/institutional background as well. The list of the titles will be presented at the end of the semester.</w:t>
      </w:r>
    </w:p>
    <w:p w:rsidR="006B4AD0" w:rsidRPr="00BA1C5D" w:rsidRDefault="006B4AD0" w:rsidP="006B4AD0">
      <w:pPr>
        <w:jc w:val="both"/>
        <w:rPr>
          <w:rFonts w:ascii="Century Gothic" w:hAnsi="Century Gothic"/>
          <w:sz w:val="20"/>
        </w:rPr>
      </w:pPr>
    </w:p>
    <w:p w:rsidR="006B4AD0" w:rsidRPr="00BA1C5D" w:rsidRDefault="006B4AD0" w:rsidP="00B97B48">
      <w:pPr>
        <w:tabs>
          <w:tab w:val="right" w:pos="10080"/>
        </w:tabs>
        <w:rPr>
          <w:rFonts w:ascii="Century Gothic" w:hAnsi="Century Gothic"/>
          <w:b/>
          <w:sz w:val="20"/>
        </w:rPr>
      </w:pPr>
    </w:p>
    <w:p w:rsidR="00870379" w:rsidRPr="00BA1C5D" w:rsidRDefault="00870379" w:rsidP="00B97B48">
      <w:pPr>
        <w:tabs>
          <w:tab w:val="right" w:pos="10080"/>
        </w:tabs>
        <w:rPr>
          <w:rFonts w:ascii="Century Gothic" w:hAnsi="Century Gothic"/>
          <w:b/>
          <w:sz w:val="20"/>
        </w:rPr>
      </w:pPr>
      <w:r w:rsidRPr="00BA1C5D">
        <w:rPr>
          <w:rFonts w:ascii="Century Gothic" w:hAnsi="Century Gothic"/>
          <w:b/>
          <w:sz w:val="20"/>
        </w:rPr>
        <w:t xml:space="preserve">Required </w:t>
      </w:r>
      <w:smartTag w:uri="urn:schemas-microsoft-com:office:smarttags" w:element="City">
        <w:smartTag w:uri="urn:schemas-microsoft-com:office:smarttags" w:element="place">
          <w:r w:rsidRPr="00BA1C5D">
            <w:rPr>
              <w:rFonts w:ascii="Century Gothic" w:hAnsi="Century Gothic"/>
              <w:b/>
              <w:sz w:val="20"/>
            </w:rPr>
            <w:t>Reading</w:t>
          </w:r>
        </w:smartTag>
      </w:smartTag>
      <w:r w:rsidRPr="00BA1C5D">
        <w:rPr>
          <w:rFonts w:ascii="Century Gothic" w:hAnsi="Century Gothic"/>
          <w:b/>
          <w:sz w:val="20"/>
        </w:rPr>
        <w:t xml:space="preserve"> and Other Materials will be equivalent to:</w:t>
      </w:r>
    </w:p>
    <w:p w:rsidR="004C273C" w:rsidRDefault="00F459DC" w:rsidP="00B97B48">
      <w:pPr>
        <w:tabs>
          <w:tab w:val="left" w:pos="0"/>
          <w:tab w:val="right" w:pos="10080"/>
        </w:tabs>
        <w:rPr>
          <w:rFonts w:ascii="Century Gothic" w:hAnsi="Century Gothic"/>
          <w:i/>
          <w:sz w:val="20"/>
        </w:rPr>
      </w:pPr>
      <w:r w:rsidRPr="00F459DC">
        <w:rPr>
          <w:rFonts w:ascii="Century Gothic" w:hAnsi="Century Gothic"/>
          <w:i/>
          <w:sz w:val="20"/>
        </w:rPr>
        <w:t>Compulsory course material:</w:t>
      </w:r>
    </w:p>
    <w:p w:rsidR="004C273C" w:rsidRDefault="00F459DC" w:rsidP="00B97B48">
      <w:pPr>
        <w:tabs>
          <w:tab w:val="left" w:pos="0"/>
          <w:tab w:val="right" w:pos="10080"/>
        </w:tabs>
        <w:rPr>
          <w:rFonts w:ascii="Century Gothic" w:hAnsi="Century Gothic"/>
          <w:snapToGrid/>
          <w:color w:val="000000"/>
          <w:sz w:val="20"/>
          <w:lang w:val="en-GB" w:eastAsia="hu-HU"/>
        </w:rPr>
      </w:pPr>
      <w:r w:rsidRPr="004C273C">
        <w:rPr>
          <w:rFonts w:ascii="Century Gothic" w:hAnsi="Century Gothic"/>
          <w:snapToGrid/>
          <w:color w:val="000000"/>
          <w:sz w:val="20"/>
          <w:lang w:val="en-GB" w:eastAsia="hu-HU"/>
        </w:rPr>
        <w:t>How the European Union works (European Commission, 2014)</w:t>
      </w:r>
    </w:p>
    <w:p w:rsidR="004C273C" w:rsidRDefault="00F459DC" w:rsidP="00B97B48">
      <w:pPr>
        <w:tabs>
          <w:tab w:val="left" w:pos="0"/>
          <w:tab w:val="right" w:pos="10080"/>
        </w:tabs>
        <w:rPr>
          <w:rFonts w:ascii="Century Gothic" w:hAnsi="Century Gothic"/>
          <w:i/>
          <w:sz w:val="20"/>
        </w:rPr>
      </w:pPr>
      <w:r w:rsidRPr="00F459DC">
        <w:rPr>
          <w:rFonts w:ascii="Century Gothic" w:hAnsi="Century Gothic"/>
          <w:i/>
          <w:sz w:val="20"/>
        </w:rPr>
        <w:t>Recommended course materials:</w:t>
      </w:r>
    </w:p>
    <w:p w:rsidR="004C273C" w:rsidRDefault="004C273C" w:rsidP="00B97B48">
      <w:pPr>
        <w:tabs>
          <w:tab w:val="left" w:pos="0"/>
          <w:tab w:val="right" w:pos="10080"/>
        </w:tabs>
        <w:rPr>
          <w:rFonts w:ascii="Century Gothic" w:hAnsi="Century Gothic"/>
          <w:snapToGrid/>
          <w:color w:val="000000"/>
          <w:sz w:val="20"/>
          <w:lang w:val="en-GB" w:eastAsia="hu-HU"/>
        </w:rPr>
      </w:pPr>
      <w:hyperlink r:id="rId8" w:history="1">
        <w:r w:rsidRPr="009C53C9">
          <w:rPr>
            <w:rStyle w:val="Hiperhivatkozs"/>
            <w:rFonts w:ascii="Century Gothic" w:hAnsi="Century Gothic"/>
            <w:snapToGrid/>
            <w:sz w:val="20"/>
            <w:lang w:val="en-GB" w:eastAsia="hu-HU"/>
          </w:rPr>
          <w:t>http://ec.europa.eu/internal_market/qualifications/docs/guide/users_guide_en.pdf</w:t>
        </w:r>
      </w:hyperlink>
      <w:r>
        <w:rPr>
          <w:rFonts w:ascii="Century Gothic" w:hAnsi="Century Gothic"/>
          <w:snapToGrid/>
          <w:color w:val="000000"/>
          <w:sz w:val="20"/>
          <w:lang w:val="en-GB" w:eastAsia="hu-HU"/>
        </w:rPr>
        <w:t xml:space="preserve"> </w:t>
      </w:r>
    </w:p>
    <w:p w:rsidR="004C273C" w:rsidRDefault="00F459DC" w:rsidP="00B97B48">
      <w:pPr>
        <w:tabs>
          <w:tab w:val="left" w:pos="0"/>
          <w:tab w:val="right" w:pos="10080"/>
        </w:tabs>
        <w:rPr>
          <w:rFonts w:ascii="Century Gothic" w:hAnsi="Century Gothic"/>
          <w:snapToGrid/>
          <w:color w:val="000000"/>
          <w:sz w:val="20"/>
          <w:lang w:val="en-GB" w:eastAsia="hu-HU"/>
        </w:rPr>
      </w:pPr>
      <w:r w:rsidRPr="004C273C">
        <w:rPr>
          <w:rFonts w:ascii="Century Gothic" w:hAnsi="Century Gothic"/>
          <w:snapToGrid/>
          <w:color w:val="000000"/>
          <w:sz w:val="20"/>
          <w:lang w:val="en-GB" w:eastAsia="hu-HU"/>
        </w:rPr>
        <w:t>2005/36 EC on the Mutual Recognition of Professional Qualifications</w:t>
      </w:r>
    </w:p>
    <w:p w:rsidR="00F459DC" w:rsidRPr="004C273C" w:rsidRDefault="004C273C" w:rsidP="00B97B48">
      <w:pPr>
        <w:tabs>
          <w:tab w:val="left" w:pos="0"/>
          <w:tab w:val="right" w:pos="10080"/>
        </w:tabs>
        <w:rPr>
          <w:rFonts w:ascii="Century Gothic" w:hAnsi="Century Gothic"/>
          <w:snapToGrid/>
          <w:color w:val="000000"/>
          <w:sz w:val="20"/>
          <w:lang w:val="en-GB" w:eastAsia="hu-HU"/>
        </w:rPr>
      </w:pPr>
      <w:hyperlink r:id="rId9" w:history="1">
        <w:r w:rsidRPr="009C53C9">
          <w:rPr>
            <w:rStyle w:val="Hiperhivatkozs"/>
            <w:rFonts w:ascii="Century Gothic" w:hAnsi="Century Gothic"/>
            <w:snapToGrid/>
            <w:sz w:val="20"/>
            <w:lang w:val="en-GB" w:eastAsia="hu-HU"/>
          </w:rPr>
          <w:t>http://eur-lex.europa.eu/legal-content/HU/TXT/?uri=URISERV:c11065</w:t>
        </w:r>
      </w:hyperlink>
      <w:r>
        <w:rPr>
          <w:rFonts w:ascii="Century Gothic" w:hAnsi="Century Gothic"/>
          <w:snapToGrid/>
          <w:color w:val="000000"/>
          <w:sz w:val="20"/>
          <w:lang w:val="en-GB" w:eastAsia="hu-HU"/>
        </w:rPr>
        <w:t xml:space="preserve"> </w:t>
      </w:r>
    </w:p>
    <w:p w:rsidR="00A66086" w:rsidRPr="00BA1C5D" w:rsidRDefault="00A66086" w:rsidP="00A66086">
      <w:pPr>
        <w:widowControl/>
        <w:jc w:val="both"/>
        <w:rPr>
          <w:rFonts w:ascii="Century Gothic" w:hAnsi="Century Gothic"/>
          <w:snapToGrid/>
          <w:sz w:val="20"/>
          <w:lang w:val="hu-HU" w:eastAsia="hu-HU"/>
        </w:rPr>
      </w:pPr>
      <w:r w:rsidRPr="00BA1C5D">
        <w:rPr>
          <w:rFonts w:ascii="Century Gothic" w:hAnsi="Century Gothic"/>
          <w:snapToGrid/>
          <w:color w:val="000000"/>
          <w:sz w:val="20"/>
          <w:lang w:val="en-GB" w:eastAsia="hu-HU"/>
        </w:rPr>
        <w:t xml:space="preserve">Kengyel, Á.: The European Union and its policies. In: Palánkai, T. (ed.): </w:t>
      </w:r>
      <w:r w:rsidRPr="00BA1C5D">
        <w:rPr>
          <w:rFonts w:ascii="Century Gothic" w:hAnsi="Century Gothic"/>
          <w:i/>
          <w:iCs/>
          <w:snapToGrid/>
          <w:color w:val="000000"/>
          <w:sz w:val="20"/>
          <w:lang w:val="en-GB" w:eastAsia="hu-HU"/>
        </w:rPr>
        <w:t>Economics of Global and Regional Integration</w:t>
      </w:r>
      <w:r w:rsidRPr="00BA1C5D">
        <w:rPr>
          <w:rFonts w:ascii="Century Gothic" w:hAnsi="Century Gothic"/>
          <w:snapToGrid/>
          <w:color w:val="000000"/>
          <w:sz w:val="20"/>
          <w:lang w:val="en-GB" w:eastAsia="hu-HU"/>
        </w:rPr>
        <w:t xml:space="preserve">. Akadémiai Kiadó. </w:t>
      </w:r>
      <w:smartTag w:uri="urn:schemas-microsoft-com:office:smarttags" w:element="place">
        <w:smartTag w:uri="urn:schemas-microsoft-com:office:smarttags" w:element="City">
          <w:r w:rsidRPr="00BA1C5D">
            <w:rPr>
              <w:rFonts w:ascii="Century Gothic" w:hAnsi="Century Gothic"/>
              <w:snapToGrid/>
              <w:color w:val="000000"/>
              <w:sz w:val="20"/>
              <w:lang w:val="en-GB" w:eastAsia="hu-HU"/>
            </w:rPr>
            <w:t>Budapest</w:t>
          </w:r>
        </w:smartTag>
      </w:smartTag>
      <w:r w:rsidRPr="00BA1C5D">
        <w:rPr>
          <w:rFonts w:ascii="Century Gothic" w:hAnsi="Century Gothic"/>
          <w:snapToGrid/>
          <w:color w:val="000000"/>
          <w:sz w:val="20"/>
          <w:lang w:val="en-GB" w:eastAsia="hu-HU"/>
        </w:rPr>
        <w:t xml:space="preserve">, 2014, pp. 175-190. </w:t>
      </w:r>
    </w:p>
    <w:p w:rsidR="00A66086" w:rsidRPr="00BA1C5D" w:rsidRDefault="00A66086" w:rsidP="00A66086">
      <w:pPr>
        <w:widowControl/>
        <w:jc w:val="both"/>
        <w:rPr>
          <w:rFonts w:ascii="Century Gothic" w:hAnsi="Century Gothic"/>
          <w:snapToGrid/>
          <w:sz w:val="20"/>
          <w:lang w:val="hu-HU" w:eastAsia="hu-HU"/>
        </w:rPr>
      </w:pPr>
      <w:r w:rsidRPr="00BA1C5D">
        <w:rPr>
          <w:rFonts w:ascii="Century Gothic" w:hAnsi="Century Gothic"/>
          <w:snapToGrid/>
          <w:sz w:val="20"/>
          <w:lang w:val="en-GB" w:eastAsia="hu-HU"/>
        </w:rPr>
        <w:t xml:space="preserve">Kengyel, Á.: The Importance of EU Cohesion Policy in Central and </w:t>
      </w:r>
      <w:smartTag w:uri="urn:schemas-microsoft-com:office:smarttags" w:element="place">
        <w:r w:rsidRPr="00BA1C5D">
          <w:rPr>
            <w:rFonts w:ascii="Century Gothic" w:hAnsi="Century Gothic"/>
            <w:snapToGrid/>
            <w:sz w:val="20"/>
            <w:lang w:val="en-GB" w:eastAsia="hu-HU"/>
          </w:rPr>
          <w:t>Eastern Europe</w:t>
        </w:r>
      </w:smartTag>
      <w:r w:rsidRPr="00BA1C5D">
        <w:rPr>
          <w:rFonts w:ascii="Century Gothic" w:hAnsi="Century Gothic"/>
          <w:snapToGrid/>
          <w:sz w:val="20"/>
          <w:lang w:val="en-GB" w:eastAsia="hu-HU"/>
        </w:rPr>
        <w:t xml:space="preserve">. </w:t>
      </w:r>
      <w:r w:rsidRPr="00BA1C5D">
        <w:rPr>
          <w:rFonts w:ascii="Century Gothic" w:hAnsi="Century Gothic"/>
          <w:i/>
          <w:iCs/>
          <w:snapToGrid/>
          <w:sz w:val="20"/>
          <w:lang w:val="en-GB" w:eastAsia="hu-HU"/>
        </w:rPr>
        <w:t>Transition Studies Review</w:t>
      </w:r>
      <w:r w:rsidRPr="00BA1C5D">
        <w:rPr>
          <w:rFonts w:ascii="Century Gothic" w:hAnsi="Century Gothic"/>
          <w:snapToGrid/>
          <w:sz w:val="20"/>
          <w:lang w:val="en-GB" w:eastAsia="hu-HU"/>
        </w:rPr>
        <w:t>, Vol. 22. No. 1. (2015), pp. 3-20.</w:t>
      </w:r>
    </w:p>
    <w:p w:rsidR="00A66086" w:rsidRPr="00A66086" w:rsidRDefault="00A66086" w:rsidP="00A66086">
      <w:pPr>
        <w:widowControl/>
        <w:jc w:val="both"/>
        <w:rPr>
          <w:rFonts w:ascii="Century Gothic" w:hAnsi="Century Gothic"/>
          <w:snapToGrid/>
          <w:sz w:val="20"/>
          <w:lang w:val="hu-HU" w:eastAsia="hu-HU"/>
        </w:rPr>
      </w:pPr>
      <w:r w:rsidRPr="00BA1C5D">
        <w:rPr>
          <w:rFonts w:ascii="Century Gothic" w:hAnsi="Century Gothic"/>
          <w:snapToGrid/>
          <w:color w:val="000000"/>
          <w:sz w:val="20"/>
          <w:shd w:val="clear" w:color="auto" w:fill="FDFDFD"/>
          <w:lang w:val="en-GB" w:eastAsia="hu-HU"/>
        </w:rPr>
        <w:t xml:space="preserve">Kengyel, Á.: New Headings – Old Problems: The Evolution and Future of the EU Budget, </w:t>
      </w:r>
      <w:r w:rsidRPr="00BA1C5D">
        <w:rPr>
          <w:rFonts w:ascii="Century Gothic" w:hAnsi="Century Gothic"/>
          <w:bCs/>
          <w:i/>
          <w:iCs/>
          <w:snapToGrid/>
          <w:color w:val="000000"/>
          <w:sz w:val="20"/>
          <w:shd w:val="clear" w:color="auto" w:fill="FFFEC4"/>
          <w:lang w:val="en-GB" w:eastAsia="hu-HU"/>
        </w:rPr>
        <w:t>INTERECONOMICS</w:t>
      </w:r>
      <w:r w:rsidRPr="00BA1C5D">
        <w:rPr>
          <w:rFonts w:ascii="Century Gothic" w:hAnsi="Century Gothic"/>
          <w:bCs/>
          <w:i/>
          <w:iCs/>
          <w:snapToGrid/>
          <w:color w:val="000000"/>
          <w:sz w:val="20"/>
          <w:shd w:val="clear" w:color="auto" w:fill="FDFDFD"/>
          <w:lang w:val="en-GB" w:eastAsia="hu-HU"/>
        </w:rPr>
        <w:t xml:space="preserve"> Review of European Economic Policy</w:t>
      </w:r>
      <w:r w:rsidRPr="00BA1C5D">
        <w:rPr>
          <w:rFonts w:ascii="Century Gothic" w:hAnsi="Century Gothic"/>
          <w:snapToGrid/>
          <w:color w:val="000000"/>
          <w:sz w:val="20"/>
          <w:shd w:val="clear" w:color="auto" w:fill="FDFDFD"/>
          <w:lang w:val="en-GB" w:eastAsia="hu-HU"/>
        </w:rPr>
        <w:t xml:space="preserve"> 51(2), March-April 2016, pp. 100-106. (ISSN 0020-5346) DOI 10.1007/s10272-016-0584-0 (The article is fully accessible to all users at libraries and institutions that have purchased a SpringerLink license':</w:t>
      </w:r>
      <w:hyperlink r:id="rId10" w:tgtFrame="_blank" w:history="1">
        <w:r w:rsidRPr="00BA1C5D">
          <w:rPr>
            <w:rFonts w:ascii="Century Gothic" w:hAnsi="Century Gothic"/>
            <w:snapToGrid/>
            <w:color w:val="336699"/>
            <w:sz w:val="20"/>
            <w:u w:val="single"/>
            <w:lang w:val="en-GB" w:eastAsia="hu-HU"/>
          </w:rPr>
          <w:t>http://link.springer.com/article/10.1007/s10272-016-0584-0</w:t>
        </w:r>
      </w:hyperlink>
      <w:r w:rsidRPr="00BA1C5D">
        <w:rPr>
          <w:rFonts w:ascii="Century Gothic" w:hAnsi="Century Gothic"/>
          <w:snapToGrid/>
          <w:color w:val="000000"/>
          <w:sz w:val="20"/>
          <w:shd w:val="clear" w:color="auto" w:fill="FDFDFD"/>
          <w:lang w:val="en-GB" w:eastAsia="hu-HU"/>
        </w:rPr>
        <w:t>.)</w:t>
      </w:r>
    </w:p>
    <w:p w:rsidR="00870379" w:rsidRPr="00A66086" w:rsidRDefault="00870379" w:rsidP="00A66086">
      <w:pPr>
        <w:tabs>
          <w:tab w:val="left" w:pos="0"/>
          <w:tab w:val="right" w:pos="10080"/>
        </w:tabs>
        <w:rPr>
          <w:rFonts w:ascii="Century Gothic" w:hAnsi="Century Gothic"/>
          <w:sz w:val="20"/>
          <w:lang w:val="hu-HU"/>
        </w:rPr>
      </w:pPr>
    </w:p>
    <w:p w:rsidR="00870379" w:rsidRPr="004A5C12" w:rsidRDefault="00870379" w:rsidP="00B97B48">
      <w:pPr>
        <w:rPr>
          <w:rFonts w:ascii="Century Gothic" w:hAnsi="Century Gothic"/>
          <w:color w:val="333333"/>
          <w:sz w:val="20"/>
        </w:rPr>
      </w:pPr>
    </w:p>
    <w:p w:rsidR="00870379" w:rsidRPr="004A5C12" w:rsidRDefault="00AF6C4F" w:rsidP="00B97B48">
      <w:pPr>
        <w:rPr>
          <w:rFonts w:ascii="Century Gothic" w:hAnsi="Century Gothic"/>
          <w:sz w:val="20"/>
        </w:rPr>
      </w:pPr>
      <w:r>
        <w:rPr>
          <w:rFonts w:ascii="Century Gothic" w:hAnsi="Century Gothic"/>
          <w:b/>
          <w:sz w:val="20"/>
        </w:rPr>
        <w:t>Schedule:</w:t>
      </w:r>
    </w:p>
    <w:p w:rsidR="00213162" w:rsidRPr="00BA1C5D" w:rsidRDefault="00213162" w:rsidP="00B97B48">
      <w:pPr>
        <w:jc w:val="both"/>
        <w:rPr>
          <w:rFonts w:ascii="Century Gothic" w:hAnsi="Century Gothic"/>
          <w:snapToGrid/>
          <w:color w:val="000000"/>
          <w:sz w:val="20"/>
          <w:lang w:val="en-GB" w:eastAsia="hu-HU"/>
        </w:rPr>
      </w:pPr>
      <w:r w:rsidRPr="00BA1C5D">
        <w:rPr>
          <w:rFonts w:ascii="Century Gothic" w:hAnsi="Century Gothic"/>
          <w:snapToGrid/>
          <w:color w:val="000000"/>
          <w:sz w:val="20"/>
          <w:lang w:val="en-GB" w:eastAsia="hu-HU"/>
        </w:rPr>
        <w:t>The rough outline of the schedule is as follows:</w:t>
      </w:r>
    </w:p>
    <w:p w:rsidR="00213162" w:rsidRPr="00BA1C5D" w:rsidRDefault="00F459DC"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t>9</w:t>
      </w:r>
      <w:r w:rsidRPr="00F459DC">
        <w:rPr>
          <w:rFonts w:ascii="Century Gothic" w:hAnsi="Century Gothic"/>
          <w:snapToGrid/>
          <w:color w:val="000000"/>
          <w:sz w:val="20"/>
          <w:vertAlign w:val="superscript"/>
          <w:lang w:val="en-GB" w:eastAsia="hu-HU"/>
        </w:rPr>
        <w:t>th</w:t>
      </w:r>
      <w:r>
        <w:rPr>
          <w:rFonts w:ascii="Century Gothic" w:hAnsi="Century Gothic"/>
          <w:snapToGrid/>
          <w:color w:val="000000"/>
          <w:sz w:val="20"/>
          <w:lang w:val="en-GB" w:eastAsia="hu-HU"/>
        </w:rPr>
        <w:t xml:space="preserve"> September</w:t>
      </w:r>
      <w:r w:rsidR="00EF16F6">
        <w:rPr>
          <w:rFonts w:ascii="Century Gothic" w:hAnsi="Century Gothic"/>
          <w:snapToGrid/>
          <w:color w:val="000000"/>
          <w:sz w:val="20"/>
          <w:lang w:val="en-GB" w:eastAsia="hu-HU"/>
        </w:rPr>
        <w:t xml:space="preserve"> 2016</w:t>
      </w:r>
      <w:r w:rsidR="00213162" w:rsidRPr="00BA1C5D">
        <w:rPr>
          <w:rFonts w:ascii="Century Gothic" w:hAnsi="Century Gothic"/>
          <w:snapToGrid/>
          <w:color w:val="000000"/>
          <w:sz w:val="20"/>
          <w:lang w:val="en-GB" w:eastAsia="hu-HU"/>
        </w:rPr>
        <w:t xml:space="preserve">: </w:t>
      </w:r>
      <w:r w:rsidR="00FA684E" w:rsidRPr="00BA1C5D">
        <w:rPr>
          <w:rFonts w:ascii="Century Gothic" w:hAnsi="Century Gothic"/>
          <w:snapToGrid/>
          <w:color w:val="000000"/>
          <w:sz w:val="20"/>
          <w:lang w:val="en-GB" w:eastAsia="hu-HU"/>
        </w:rPr>
        <w:t xml:space="preserve">Lecture. </w:t>
      </w:r>
      <w:r w:rsidR="00213162" w:rsidRPr="00BA1C5D">
        <w:rPr>
          <w:rFonts w:ascii="Century Gothic" w:hAnsi="Century Gothic"/>
          <w:snapToGrid/>
          <w:color w:val="000000"/>
          <w:sz w:val="20"/>
          <w:lang w:val="en-GB" w:eastAsia="hu-HU"/>
        </w:rPr>
        <w:t>The history and development of the European integration 1945-1956: from the European Coal and Steel Community (ECSC) to the European Economic Community (EEC)</w:t>
      </w:r>
    </w:p>
    <w:p w:rsidR="00213162" w:rsidRPr="00BA1C5D" w:rsidRDefault="00F459DC"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t>23</w:t>
      </w:r>
      <w:r w:rsidRPr="00F459DC">
        <w:rPr>
          <w:rFonts w:ascii="Century Gothic" w:hAnsi="Century Gothic"/>
          <w:snapToGrid/>
          <w:color w:val="000000"/>
          <w:sz w:val="20"/>
          <w:vertAlign w:val="superscript"/>
          <w:lang w:val="en-GB" w:eastAsia="hu-HU"/>
        </w:rPr>
        <w:t>th</w:t>
      </w:r>
      <w:r>
        <w:rPr>
          <w:rFonts w:ascii="Century Gothic" w:hAnsi="Century Gothic"/>
          <w:snapToGrid/>
          <w:color w:val="000000"/>
          <w:sz w:val="20"/>
          <w:lang w:val="en-GB" w:eastAsia="hu-HU"/>
        </w:rPr>
        <w:t xml:space="preserve"> September</w:t>
      </w:r>
      <w:r w:rsidR="00EF16F6">
        <w:rPr>
          <w:rFonts w:ascii="Century Gothic" w:hAnsi="Century Gothic"/>
          <w:snapToGrid/>
          <w:color w:val="000000"/>
          <w:sz w:val="20"/>
          <w:lang w:val="en-GB" w:eastAsia="hu-HU"/>
        </w:rPr>
        <w:t xml:space="preserve"> 2016</w:t>
      </w:r>
      <w:r w:rsidR="00213162" w:rsidRPr="00BA1C5D">
        <w:rPr>
          <w:rFonts w:ascii="Century Gothic" w:hAnsi="Century Gothic"/>
          <w:snapToGrid/>
          <w:color w:val="000000"/>
          <w:sz w:val="20"/>
          <w:lang w:val="en-GB" w:eastAsia="hu-HU"/>
        </w:rPr>
        <w:t xml:space="preserve">: Lecture. </w:t>
      </w:r>
      <w:r w:rsidR="00FA684E" w:rsidRPr="00BA1C5D">
        <w:rPr>
          <w:rFonts w:ascii="Century Gothic" w:hAnsi="Century Gothic"/>
          <w:snapToGrid/>
          <w:color w:val="000000"/>
          <w:sz w:val="20"/>
          <w:lang w:val="en-GB" w:eastAsia="hu-HU"/>
        </w:rPr>
        <w:t xml:space="preserve">1957-2016: from the </w:t>
      </w:r>
      <w:smartTag w:uri="urn:schemas-microsoft-com:office:smarttags" w:element="place">
        <w:r w:rsidR="00FA684E" w:rsidRPr="00BA1C5D">
          <w:rPr>
            <w:rFonts w:ascii="Century Gothic" w:hAnsi="Century Gothic"/>
            <w:snapToGrid/>
            <w:color w:val="000000"/>
            <w:sz w:val="20"/>
            <w:lang w:val="en-GB" w:eastAsia="hu-HU"/>
          </w:rPr>
          <w:t>European Economic Community</w:t>
        </w:r>
      </w:smartTag>
      <w:r w:rsidR="00FA684E" w:rsidRPr="00BA1C5D">
        <w:rPr>
          <w:rFonts w:ascii="Century Gothic" w:hAnsi="Century Gothic"/>
          <w:snapToGrid/>
          <w:color w:val="000000"/>
          <w:sz w:val="20"/>
          <w:lang w:val="en-GB" w:eastAsia="hu-HU"/>
        </w:rPr>
        <w:t xml:space="preserve"> to the European Union (EU) and beyond (after Brexit)</w:t>
      </w:r>
    </w:p>
    <w:p w:rsidR="00213162" w:rsidRPr="00BA1C5D" w:rsidRDefault="00F459DC"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t>7</w:t>
      </w:r>
      <w:r w:rsidRPr="00F459DC">
        <w:rPr>
          <w:rFonts w:ascii="Century Gothic" w:hAnsi="Century Gothic"/>
          <w:snapToGrid/>
          <w:color w:val="000000"/>
          <w:sz w:val="20"/>
          <w:vertAlign w:val="superscript"/>
          <w:lang w:val="en-GB" w:eastAsia="hu-HU"/>
        </w:rPr>
        <w:t>th</w:t>
      </w:r>
      <w:r>
        <w:rPr>
          <w:rFonts w:ascii="Century Gothic" w:hAnsi="Century Gothic"/>
          <w:snapToGrid/>
          <w:color w:val="000000"/>
          <w:sz w:val="20"/>
          <w:lang w:val="en-GB" w:eastAsia="hu-HU"/>
        </w:rPr>
        <w:t xml:space="preserve"> October</w:t>
      </w:r>
      <w:r w:rsidR="00EF16F6">
        <w:rPr>
          <w:rFonts w:ascii="Century Gothic" w:hAnsi="Century Gothic"/>
          <w:snapToGrid/>
          <w:color w:val="000000"/>
          <w:sz w:val="20"/>
          <w:lang w:val="en-GB" w:eastAsia="hu-HU"/>
        </w:rPr>
        <w:t xml:space="preserve"> 2016</w:t>
      </w:r>
      <w:r w:rsidR="00213162" w:rsidRPr="00BA1C5D">
        <w:rPr>
          <w:rFonts w:ascii="Century Gothic" w:hAnsi="Century Gothic"/>
          <w:snapToGrid/>
          <w:color w:val="000000"/>
          <w:sz w:val="20"/>
          <w:lang w:val="en-GB" w:eastAsia="hu-HU"/>
        </w:rPr>
        <w:t xml:space="preserve">: Lecture. </w:t>
      </w:r>
      <w:r w:rsidR="00FA684E" w:rsidRPr="00BA1C5D">
        <w:rPr>
          <w:rFonts w:ascii="Century Gothic" w:hAnsi="Century Gothic"/>
          <w:snapToGrid/>
          <w:color w:val="000000"/>
          <w:sz w:val="20"/>
          <w:lang w:val="en-GB" w:eastAsia="hu-HU"/>
        </w:rPr>
        <w:t>How the EU works: tasks and responsibilities of institutions &amp; bodies, common policies and coordination of national interests</w:t>
      </w:r>
    </w:p>
    <w:p w:rsidR="00213162" w:rsidRPr="00BA1C5D" w:rsidRDefault="00EF16F6"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t>21</w:t>
      </w:r>
      <w:r w:rsidRPr="00EF16F6">
        <w:rPr>
          <w:rFonts w:ascii="Century Gothic" w:hAnsi="Century Gothic"/>
          <w:snapToGrid/>
          <w:color w:val="000000"/>
          <w:sz w:val="20"/>
          <w:vertAlign w:val="superscript"/>
          <w:lang w:val="en-GB" w:eastAsia="hu-HU"/>
        </w:rPr>
        <w:t>st</w:t>
      </w:r>
      <w:r>
        <w:rPr>
          <w:rFonts w:ascii="Century Gothic" w:hAnsi="Century Gothic"/>
          <w:snapToGrid/>
          <w:color w:val="000000"/>
          <w:sz w:val="20"/>
          <w:lang w:val="en-GB" w:eastAsia="hu-HU"/>
        </w:rPr>
        <w:t xml:space="preserve"> Oct</w:t>
      </w:r>
      <w:r w:rsidR="00F459DC">
        <w:rPr>
          <w:rFonts w:ascii="Century Gothic" w:hAnsi="Century Gothic"/>
          <w:snapToGrid/>
          <w:color w:val="000000"/>
          <w:sz w:val="20"/>
          <w:lang w:val="en-GB" w:eastAsia="hu-HU"/>
        </w:rPr>
        <w:t>ober</w:t>
      </w:r>
      <w:r>
        <w:rPr>
          <w:rFonts w:ascii="Century Gothic" w:hAnsi="Century Gothic"/>
          <w:snapToGrid/>
          <w:color w:val="000000"/>
          <w:sz w:val="20"/>
          <w:lang w:val="en-GB" w:eastAsia="hu-HU"/>
        </w:rPr>
        <w:t xml:space="preserve"> 2016</w:t>
      </w:r>
      <w:r w:rsidR="00FA684E" w:rsidRPr="00BA1C5D">
        <w:rPr>
          <w:rFonts w:ascii="Century Gothic" w:hAnsi="Century Gothic"/>
          <w:snapToGrid/>
          <w:color w:val="000000"/>
          <w:sz w:val="20"/>
          <w:lang w:val="en-GB" w:eastAsia="hu-HU"/>
        </w:rPr>
        <w:t>: Decision making in the European Union and the so-called democratic deficit. EU laws and regulations related to the activities of civil engineers (Eurocode standards, FEA</w:t>
      </w:r>
      <w:r w:rsidR="008E275D" w:rsidRPr="00BA1C5D">
        <w:rPr>
          <w:rFonts w:ascii="Century Gothic" w:hAnsi="Century Gothic"/>
          <w:snapToGrid/>
          <w:color w:val="000000"/>
          <w:sz w:val="20"/>
          <w:lang w:val="en-GB" w:eastAsia="hu-HU"/>
        </w:rPr>
        <w:t>NI and the European Engineers)</w:t>
      </w:r>
    </w:p>
    <w:p w:rsidR="00213162" w:rsidRPr="00BA1C5D" w:rsidRDefault="00EF16F6"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lastRenderedPageBreak/>
        <w:t>18</w:t>
      </w:r>
      <w:r w:rsidRPr="00EF16F6">
        <w:rPr>
          <w:rFonts w:ascii="Century Gothic" w:hAnsi="Century Gothic"/>
          <w:snapToGrid/>
          <w:color w:val="000000"/>
          <w:sz w:val="20"/>
          <w:vertAlign w:val="superscript"/>
          <w:lang w:val="en-GB" w:eastAsia="hu-HU"/>
        </w:rPr>
        <w:t>th</w:t>
      </w:r>
      <w:r>
        <w:rPr>
          <w:rFonts w:ascii="Century Gothic" w:hAnsi="Century Gothic"/>
          <w:snapToGrid/>
          <w:color w:val="000000"/>
          <w:sz w:val="20"/>
          <w:lang w:val="en-GB" w:eastAsia="hu-HU"/>
        </w:rPr>
        <w:t xml:space="preserve"> November 2016</w:t>
      </w:r>
      <w:r w:rsidR="00213162" w:rsidRPr="00BA1C5D">
        <w:rPr>
          <w:rFonts w:ascii="Century Gothic" w:hAnsi="Century Gothic"/>
          <w:snapToGrid/>
          <w:color w:val="000000"/>
          <w:sz w:val="20"/>
          <w:lang w:val="en-GB" w:eastAsia="hu-HU"/>
        </w:rPr>
        <w:t>: Lecture. Preparation of projects eligible to be co-financed by the EU: Project Management Cycle, public procurement and tendering</w:t>
      </w:r>
    </w:p>
    <w:p w:rsidR="00213162" w:rsidRPr="00BA1C5D" w:rsidRDefault="00EF16F6"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t>2</w:t>
      </w:r>
      <w:r w:rsidRPr="00EF16F6">
        <w:rPr>
          <w:rFonts w:ascii="Century Gothic" w:hAnsi="Century Gothic"/>
          <w:snapToGrid/>
          <w:color w:val="000000"/>
          <w:sz w:val="20"/>
          <w:vertAlign w:val="superscript"/>
          <w:lang w:val="en-GB" w:eastAsia="hu-HU"/>
        </w:rPr>
        <w:t>nd</w:t>
      </w:r>
      <w:r>
        <w:rPr>
          <w:rFonts w:ascii="Century Gothic" w:hAnsi="Century Gothic"/>
          <w:snapToGrid/>
          <w:color w:val="000000"/>
          <w:sz w:val="20"/>
          <w:lang w:val="en-GB" w:eastAsia="hu-HU"/>
        </w:rPr>
        <w:t xml:space="preserve"> December 2016</w:t>
      </w:r>
      <w:r w:rsidR="00213162" w:rsidRPr="00BA1C5D">
        <w:rPr>
          <w:rFonts w:ascii="Century Gothic" w:hAnsi="Century Gothic"/>
          <w:snapToGrid/>
          <w:color w:val="000000"/>
          <w:sz w:val="20"/>
          <w:lang w:val="en-GB" w:eastAsia="hu-HU"/>
        </w:rPr>
        <w:t>: Lecture. Coordinated development of the infrastructure of international interest – the Trans European Networks: opportunities for civil engineers</w:t>
      </w:r>
      <w:r w:rsidR="00FA684E" w:rsidRPr="00BA1C5D">
        <w:rPr>
          <w:rFonts w:ascii="Century Gothic" w:hAnsi="Century Gothic"/>
          <w:snapToGrid/>
          <w:color w:val="000000"/>
          <w:sz w:val="20"/>
          <w:lang w:val="en-GB" w:eastAsia="hu-HU"/>
        </w:rPr>
        <w:t xml:space="preserve">. </w:t>
      </w:r>
      <w:r w:rsidR="00213162" w:rsidRPr="00BA1C5D">
        <w:rPr>
          <w:rFonts w:ascii="Century Gothic" w:hAnsi="Century Gothic"/>
          <w:snapToGrid/>
          <w:color w:val="000000"/>
          <w:sz w:val="20"/>
          <w:lang w:val="en-GB" w:eastAsia="hu-HU"/>
        </w:rPr>
        <w:t>R</w:t>
      </w:r>
      <w:r w:rsidR="00FA684E" w:rsidRPr="00BA1C5D">
        <w:rPr>
          <w:rFonts w:ascii="Century Gothic" w:hAnsi="Century Gothic"/>
          <w:snapToGrid/>
          <w:color w:val="000000"/>
          <w:sz w:val="20"/>
          <w:lang w:val="en-GB" w:eastAsia="hu-HU"/>
        </w:rPr>
        <w:t xml:space="preserve"> &amp; D</w:t>
      </w:r>
      <w:r w:rsidR="00213162" w:rsidRPr="00BA1C5D">
        <w:rPr>
          <w:rFonts w:ascii="Century Gothic" w:hAnsi="Century Gothic"/>
          <w:snapToGrid/>
          <w:color w:val="000000"/>
          <w:sz w:val="20"/>
          <w:lang w:val="en-GB" w:eastAsia="hu-HU"/>
        </w:rPr>
        <w:t xml:space="preserve"> in the EU; accessibility and dissemination of professional knowledge, the activities of universities </w:t>
      </w:r>
    </w:p>
    <w:p w:rsidR="00870379" w:rsidRPr="00BA1C5D" w:rsidRDefault="00EF16F6" w:rsidP="00213162">
      <w:pPr>
        <w:ind w:left="708"/>
        <w:jc w:val="both"/>
        <w:rPr>
          <w:rFonts w:ascii="Century Gothic" w:hAnsi="Century Gothic"/>
          <w:snapToGrid/>
          <w:color w:val="000000"/>
          <w:sz w:val="20"/>
          <w:lang w:val="en-GB" w:eastAsia="hu-HU"/>
        </w:rPr>
      </w:pPr>
      <w:r>
        <w:rPr>
          <w:rFonts w:ascii="Century Gothic" w:hAnsi="Century Gothic"/>
          <w:snapToGrid/>
          <w:color w:val="000000"/>
          <w:sz w:val="20"/>
          <w:lang w:val="en-GB" w:eastAsia="hu-HU"/>
        </w:rPr>
        <w:t>16</w:t>
      </w:r>
      <w:r w:rsidRPr="00EF16F6">
        <w:rPr>
          <w:rFonts w:ascii="Century Gothic" w:hAnsi="Century Gothic"/>
          <w:snapToGrid/>
          <w:color w:val="000000"/>
          <w:sz w:val="20"/>
          <w:vertAlign w:val="superscript"/>
          <w:lang w:val="en-GB" w:eastAsia="hu-HU"/>
        </w:rPr>
        <w:t>th</w:t>
      </w:r>
      <w:r>
        <w:rPr>
          <w:rFonts w:ascii="Century Gothic" w:hAnsi="Century Gothic"/>
          <w:snapToGrid/>
          <w:color w:val="000000"/>
          <w:sz w:val="20"/>
          <w:lang w:val="en-GB" w:eastAsia="hu-HU"/>
        </w:rPr>
        <w:t xml:space="preserve"> December 2016</w:t>
      </w:r>
      <w:r w:rsidR="00C95E63">
        <w:rPr>
          <w:rFonts w:ascii="Century Gothic" w:hAnsi="Century Gothic"/>
          <w:snapToGrid/>
          <w:color w:val="000000"/>
          <w:sz w:val="20"/>
          <w:lang w:val="en-GB" w:eastAsia="hu-HU"/>
        </w:rPr>
        <w:t xml:space="preserve">: </w:t>
      </w:r>
      <w:r w:rsidR="00FA684E" w:rsidRPr="00BA1C5D">
        <w:rPr>
          <w:rFonts w:ascii="Century Gothic" w:hAnsi="Century Gothic"/>
          <w:snapToGrid/>
          <w:color w:val="000000"/>
          <w:sz w:val="20"/>
          <w:lang w:val="en-GB" w:eastAsia="hu-HU"/>
        </w:rPr>
        <w:t xml:space="preserve">Written examination </w:t>
      </w:r>
    </w:p>
    <w:p w:rsidR="00870379" w:rsidRPr="004A5C12" w:rsidRDefault="00870379" w:rsidP="00B97B48">
      <w:pPr>
        <w:jc w:val="both"/>
        <w:rPr>
          <w:rFonts w:ascii="Century Gothic" w:hAnsi="Century Gothic"/>
          <w:sz w:val="20"/>
        </w:rPr>
      </w:pPr>
    </w:p>
    <w:p w:rsidR="00870379" w:rsidRPr="004A5C12" w:rsidRDefault="00870379" w:rsidP="0039510E">
      <w:pPr>
        <w:keepNext/>
        <w:jc w:val="both"/>
        <w:rPr>
          <w:rFonts w:ascii="Century Gothic" w:hAnsi="Century Gothic"/>
          <w:b/>
          <w:sz w:val="20"/>
        </w:rPr>
      </w:pPr>
      <w:r w:rsidRPr="004A5C12">
        <w:rPr>
          <w:rFonts w:ascii="Century Gothic" w:hAnsi="Century Gothic"/>
          <w:b/>
          <w:sz w:val="20"/>
        </w:rPr>
        <w:t>Evaluation of Student Performance</w:t>
      </w:r>
      <w:r w:rsidR="00E22F6B">
        <w:rPr>
          <w:rFonts w:ascii="Century Gothic" w:hAnsi="Century Gothic"/>
          <w:b/>
          <w:sz w:val="20"/>
        </w:rPr>
        <w:t>:</w:t>
      </w:r>
    </w:p>
    <w:p w:rsidR="00A66086" w:rsidRPr="00BA1C5D" w:rsidRDefault="00A66086" w:rsidP="0039510E">
      <w:pPr>
        <w:keepNext/>
        <w:jc w:val="both"/>
        <w:rPr>
          <w:rFonts w:ascii="Century Gothic" w:hAnsi="Century Gothic"/>
          <w:snapToGrid/>
          <w:color w:val="000000"/>
          <w:sz w:val="20"/>
          <w:lang w:val="en-GB" w:eastAsia="hu-HU"/>
        </w:rPr>
      </w:pPr>
      <w:r w:rsidRPr="00BA1C5D">
        <w:rPr>
          <w:rFonts w:ascii="Century Gothic" w:hAnsi="Century Gothic"/>
          <w:snapToGrid/>
          <w:color w:val="000000"/>
          <w:sz w:val="20"/>
          <w:lang w:val="en-GB" w:eastAsia="hu-HU"/>
        </w:rPr>
        <w:t>Grading will follow the course structure with the following weight:</w:t>
      </w:r>
    </w:p>
    <w:p w:rsidR="00A66086" w:rsidRPr="0047575B" w:rsidRDefault="00A5225E" w:rsidP="00A66086">
      <w:pPr>
        <w:ind w:left="708"/>
        <w:jc w:val="both"/>
        <w:rPr>
          <w:rFonts w:ascii="Century Gothic" w:hAnsi="Century Gothic"/>
          <w:snapToGrid/>
          <w:color w:val="000000"/>
          <w:sz w:val="20"/>
          <w:lang w:val="en-GB" w:eastAsia="hu-HU"/>
        </w:rPr>
      </w:pPr>
      <w:r w:rsidRPr="0047575B">
        <w:rPr>
          <w:rFonts w:ascii="Century Gothic" w:hAnsi="Century Gothic"/>
          <w:snapToGrid/>
          <w:color w:val="000000"/>
          <w:sz w:val="20"/>
          <w:lang w:val="en-GB" w:eastAsia="hu-HU"/>
        </w:rPr>
        <w:t>Written examination: 100</w:t>
      </w:r>
      <w:r w:rsidR="00A66086" w:rsidRPr="0047575B">
        <w:rPr>
          <w:rFonts w:ascii="Century Gothic" w:hAnsi="Century Gothic"/>
          <w:snapToGrid/>
          <w:color w:val="000000"/>
          <w:sz w:val="20"/>
          <w:lang w:val="en-GB" w:eastAsia="hu-HU"/>
        </w:rPr>
        <w:t>%</w:t>
      </w:r>
    </w:p>
    <w:p w:rsidR="00A66086" w:rsidRPr="00BA1C5D" w:rsidRDefault="00A66086" w:rsidP="00A66086">
      <w:pPr>
        <w:jc w:val="both"/>
        <w:rPr>
          <w:rFonts w:ascii="Century Gothic" w:hAnsi="Century Gothic"/>
          <w:snapToGrid/>
          <w:color w:val="000000"/>
          <w:sz w:val="20"/>
          <w:lang w:val="en-GB" w:eastAsia="hu-HU"/>
        </w:rPr>
      </w:pPr>
    </w:p>
    <w:p w:rsidR="00E760FE" w:rsidRPr="00BA1C5D" w:rsidRDefault="00A66086" w:rsidP="00A66086">
      <w:pPr>
        <w:jc w:val="both"/>
        <w:rPr>
          <w:rFonts w:ascii="Century Gothic" w:hAnsi="Century Gothic"/>
          <w:snapToGrid/>
          <w:color w:val="000000"/>
          <w:sz w:val="20"/>
          <w:lang w:val="en-GB" w:eastAsia="hu-HU"/>
        </w:rPr>
      </w:pPr>
      <w:r w:rsidRPr="00BA1C5D">
        <w:rPr>
          <w:rFonts w:ascii="Century Gothic" w:hAnsi="Century Gothic"/>
          <w:snapToGrid/>
          <w:color w:val="000000"/>
          <w:sz w:val="20"/>
          <w:lang w:val="en-GB" w:eastAsia="hu-HU"/>
        </w:rPr>
        <w:t>The final grade will be based on the following guidelines:</w:t>
      </w:r>
    </w:p>
    <w:p w:rsidR="007F12DA" w:rsidRPr="00BA1C5D" w:rsidRDefault="00E760FE" w:rsidP="00437B62">
      <w:pPr>
        <w:jc w:val="both"/>
        <w:rPr>
          <w:rFonts w:ascii="Century Gothic" w:hAnsi="Century Gothic"/>
          <w:sz w:val="20"/>
        </w:rPr>
      </w:pPr>
      <w:r w:rsidRPr="00BA1C5D">
        <w:rPr>
          <w:rFonts w:ascii="Century Gothic" w:hAnsi="Century Gothic"/>
          <w:sz w:val="20"/>
        </w:rPr>
        <w:t>Grading scale</w:t>
      </w:r>
    </w:p>
    <w:tbl>
      <w:tblPr>
        <w:tblW w:w="0" w:type="auto"/>
        <w:tblLook w:val="04A0"/>
      </w:tblPr>
      <w:tblGrid>
        <w:gridCol w:w="1846"/>
        <w:gridCol w:w="1690"/>
        <w:gridCol w:w="1690"/>
        <w:gridCol w:w="1690"/>
        <w:gridCol w:w="1690"/>
        <w:gridCol w:w="1690"/>
      </w:tblGrid>
      <w:tr w:rsidR="0009383D" w:rsidRPr="00BA1C5D" w:rsidTr="00367611">
        <w:tc>
          <w:tcPr>
            <w:tcW w:w="1846" w:type="dxa"/>
          </w:tcPr>
          <w:p w:rsidR="00E3792F" w:rsidRPr="00BA1C5D" w:rsidRDefault="00E3792F" w:rsidP="00E3792F">
            <w:pPr>
              <w:jc w:val="both"/>
              <w:rPr>
                <w:rFonts w:ascii="Century Gothic" w:hAnsi="Century Gothic"/>
                <w:sz w:val="20"/>
              </w:rPr>
            </w:pPr>
            <w:r w:rsidRPr="00BA1C5D">
              <w:rPr>
                <w:rFonts w:ascii="Century Gothic" w:hAnsi="Century Gothic"/>
                <w:sz w:val="20"/>
              </w:rPr>
              <w:t>Grade</w:t>
            </w:r>
          </w:p>
        </w:tc>
        <w:tc>
          <w:tcPr>
            <w:tcW w:w="1690" w:type="dxa"/>
          </w:tcPr>
          <w:p w:rsidR="00E3792F" w:rsidRPr="00BA1C5D" w:rsidRDefault="0009383D" w:rsidP="00E3792F">
            <w:pPr>
              <w:jc w:val="center"/>
              <w:rPr>
                <w:rFonts w:ascii="Century Gothic" w:hAnsi="Century Gothic"/>
                <w:sz w:val="20"/>
              </w:rPr>
            </w:pPr>
            <w:r w:rsidRPr="00BA1C5D">
              <w:rPr>
                <w:rFonts w:ascii="Century Gothic" w:hAnsi="Century Gothic"/>
                <w:sz w:val="20"/>
              </w:rPr>
              <w:t>5</w:t>
            </w:r>
          </w:p>
        </w:tc>
        <w:tc>
          <w:tcPr>
            <w:tcW w:w="1690" w:type="dxa"/>
          </w:tcPr>
          <w:p w:rsidR="00E3792F" w:rsidRPr="00BA1C5D" w:rsidRDefault="0009383D" w:rsidP="00E3792F">
            <w:pPr>
              <w:jc w:val="center"/>
              <w:rPr>
                <w:rFonts w:ascii="Century Gothic" w:hAnsi="Century Gothic"/>
                <w:sz w:val="20"/>
              </w:rPr>
            </w:pPr>
            <w:r w:rsidRPr="00BA1C5D">
              <w:rPr>
                <w:rFonts w:ascii="Century Gothic" w:hAnsi="Century Gothic"/>
                <w:sz w:val="20"/>
              </w:rPr>
              <w:t>4</w:t>
            </w:r>
          </w:p>
        </w:tc>
        <w:tc>
          <w:tcPr>
            <w:tcW w:w="1690" w:type="dxa"/>
          </w:tcPr>
          <w:p w:rsidR="00E3792F" w:rsidRPr="00BA1C5D" w:rsidRDefault="0009383D" w:rsidP="00E3792F">
            <w:pPr>
              <w:jc w:val="center"/>
              <w:rPr>
                <w:rFonts w:ascii="Century Gothic" w:hAnsi="Century Gothic"/>
                <w:sz w:val="20"/>
              </w:rPr>
            </w:pPr>
            <w:r w:rsidRPr="00BA1C5D">
              <w:rPr>
                <w:rFonts w:ascii="Century Gothic" w:hAnsi="Century Gothic"/>
                <w:sz w:val="20"/>
              </w:rPr>
              <w:t>3</w:t>
            </w:r>
          </w:p>
        </w:tc>
        <w:tc>
          <w:tcPr>
            <w:tcW w:w="1690" w:type="dxa"/>
          </w:tcPr>
          <w:p w:rsidR="00E3792F" w:rsidRPr="00BA1C5D" w:rsidRDefault="0009383D" w:rsidP="00E3792F">
            <w:pPr>
              <w:jc w:val="center"/>
              <w:rPr>
                <w:rFonts w:ascii="Century Gothic" w:hAnsi="Century Gothic"/>
                <w:sz w:val="20"/>
              </w:rPr>
            </w:pPr>
            <w:r w:rsidRPr="00BA1C5D">
              <w:rPr>
                <w:rFonts w:ascii="Century Gothic" w:hAnsi="Century Gothic"/>
                <w:sz w:val="20"/>
              </w:rPr>
              <w:t>2</w:t>
            </w:r>
          </w:p>
        </w:tc>
        <w:tc>
          <w:tcPr>
            <w:tcW w:w="1690" w:type="dxa"/>
          </w:tcPr>
          <w:p w:rsidR="00E3792F" w:rsidRPr="00BA1C5D" w:rsidRDefault="0009383D" w:rsidP="00E3792F">
            <w:pPr>
              <w:jc w:val="center"/>
              <w:rPr>
                <w:rFonts w:ascii="Century Gothic" w:hAnsi="Century Gothic"/>
                <w:sz w:val="20"/>
              </w:rPr>
            </w:pPr>
            <w:r w:rsidRPr="00BA1C5D">
              <w:rPr>
                <w:rFonts w:ascii="Century Gothic" w:hAnsi="Century Gothic"/>
                <w:sz w:val="20"/>
              </w:rPr>
              <w:t>1</w:t>
            </w:r>
          </w:p>
        </w:tc>
      </w:tr>
      <w:tr w:rsidR="0009383D" w:rsidRPr="00E3792F" w:rsidTr="00367611">
        <w:tc>
          <w:tcPr>
            <w:tcW w:w="1846" w:type="dxa"/>
          </w:tcPr>
          <w:p w:rsidR="00E3792F" w:rsidRPr="00BA1C5D" w:rsidRDefault="00E3792F" w:rsidP="00E3792F">
            <w:pPr>
              <w:jc w:val="both"/>
              <w:rPr>
                <w:rFonts w:ascii="Century Gothic" w:hAnsi="Century Gothic"/>
                <w:sz w:val="20"/>
              </w:rPr>
            </w:pPr>
            <w:r w:rsidRPr="00BA1C5D">
              <w:rPr>
                <w:rFonts w:ascii="Century Gothic" w:hAnsi="Century Gothic"/>
                <w:sz w:val="20"/>
              </w:rPr>
              <w:t>Numeric Grade</w:t>
            </w:r>
          </w:p>
        </w:tc>
        <w:tc>
          <w:tcPr>
            <w:tcW w:w="1690" w:type="dxa"/>
          </w:tcPr>
          <w:p w:rsidR="00E3792F" w:rsidRPr="00BA1C5D" w:rsidRDefault="00940D6A" w:rsidP="00940D6A">
            <w:pPr>
              <w:jc w:val="center"/>
              <w:rPr>
                <w:rFonts w:ascii="Century Gothic" w:hAnsi="Century Gothic"/>
                <w:sz w:val="20"/>
              </w:rPr>
            </w:pPr>
            <w:r w:rsidRPr="00BA1C5D">
              <w:rPr>
                <w:rFonts w:ascii="Century Gothic" w:hAnsi="Century Gothic"/>
                <w:sz w:val="20"/>
              </w:rPr>
              <w:t>100-8</w:t>
            </w:r>
            <w:r w:rsidR="00A66086" w:rsidRPr="00BA1C5D">
              <w:rPr>
                <w:rFonts w:ascii="Century Gothic" w:hAnsi="Century Gothic"/>
                <w:sz w:val="20"/>
              </w:rPr>
              <w:t>9</w:t>
            </w:r>
          </w:p>
        </w:tc>
        <w:tc>
          <w:tcPr>
            <w:tcW w:w="1690" w:type="dxa"/>
          </w:tcPr>
          <w:p w:rsidR="00E3792F" w:rsidRPr="00BA1C5D" w:rsidRDefault="00940D6A" w:rsidP="00E3792F">
            <w:pPr>
              <w:jc w:val="center"/>
              <w:rPr>
                <w:rFonts w:ascii="Century Gothic" w:hAnsi="Century Gothic"/>
                <w:sz w:val="20"/>
              </w:rPr>
            </w:pPr>
            <w:r w:rsidRPr="00BA1C5D">
              <w:rPr>
                <w:rFonts w:ascii="Century Gothic" w:hAnsi="Century Gothic"/>
                <w:sz w:val="20"/>
              </w:rPr>
              <w:t>8</w:t>
            </w:r>
            <w:r w:rsidR="00A66086" w:rsidRPr="00BA1C5D">
              <w:rPr>
                <w:rFonts w:ascii="Century Gothic" w:hAnsi="Century Gothic"/>
                <w:sz w:val="20"/>
              </w:rPr>
              <w:t>8</w:t>
            </w:r>
            <w:r w:rsidRPr="00BA1C5D">
              <w:rPr>
                <w:rFonts w:ascii="Century Gothic" w:hAnsi="Century Gothic"/>
                <w:sz w:val="20"/>
              </w:rPr>
              <w:t>-7</w:t>
            </w:r>
            <w:r w:rsidR="00A66086" w:rsidRPr="00BA1C5D">
              <w:rPr>
                <w:rFonts w:ascii="Century Gothic" w:hAnsi="Century Gothic"/>
                <w:sz w:val="20"/>
              </w:rPr>
              <w:t>7</w:t>
            </w:r>
          </w:p>
        </w:tc>
        <w:tc>
          <w:tcPr>
            <w:tcW w:w="1690" w:type="dxa"/>
          </w:tcPr>
          <w:p w:rsidR="00E3792F" w:rsidRPr="00BA1C5D" w:rsidRDefault="00A66086" w:rsidP="00E3792F">
            <w:pPr>
              <w:jc w:val="center"/>
              <w:rPr>
                <w:rFonts w:ascii="Century Gothic" w:hAnsi="Century Gothic"/>
                <w:sz w:val="20"/>
              </w:rPr>
            </w:pPr>
            <w:r w:rsidRPr="00BA1C5D">
              <w:rPr>
                <w:rFonts w:ascii="Century Gothic" w:hAnsi="Century Gothic"/>
                <w:sz w:val="20"/>
              </w:rPr>
              <w:t>76</w:t>
            </w:r>
            <w:r w:rsidR="00940D6A" w:rsidRPr="00BA1C5D">
              <w:rPr>
                <w:rFonts w:ascii="Century Gothic" w:hAnsi="Century Gothic"/>
                <w:sz w:val="20"/>
              </w:rPr>
              <w:t>-66</w:t>
            </w:r>
          </w:p>
        </w:tc>
        <w:tc>
          <w:tcPr>
            <w:tcW w:w="1690" w:type="dxa"/>
          </w:tcPr>
          <w:p w:rsidR="00E3792F" w:rsidRPr="00BA1C5D" w:rsidRDefault="00940D6A" w:rsidP="00E3792F">
            <w:pPr>
              <w:jc w:val="center"/>
              <w:rPr>
                <w:rFonts w:ascii="Century Gothic" w:hAnsi="Century Gothic"/>
                <w:sz w:val="20"/>
              </w:rPr>
            </w:pPr>
            <w:r w:rsidRPr="00BA1C5D">
              <w:rPr>
                <w:rFonts w:ascii="Century Gothic" w:hAnsi="Century Gothic"/>
                <w:sz w:val="20"/>
              </w:rPr>
              <w:t>65-5</w:t>
            </w:r>
            <w:r w:rsidR="00A66086" w:rsidRPr="00BA1C5D">
              <w:rPr>
                <w:rFonts w:ascii="Century Gothic" w:hAnsi="Century Gothic"/>
                <w:sz w:val="20"/>
              </w:rPr>
              <w:t>5</w:t>
            </w:r>
          </w:p>
        </w:tc>
        <w:tc>
          <w:tcPr>
            <w:tcW w:w="1690" w:type="dxa"/>
          </w:tcPr>
          <w:p w:rsidR="00E3792F" w:rsidRPr="00E3792F" w:rsidRDefault="00A66086" w:rsidP="00E3792F">
            <w:pPr>
              <w:jc w:val="center"/>
              <w:rPr>
                <w:rFonts w:ascii="Century Gothic" w:hAnsi="Century Gothic"/>
                <w:sz w:val="20"/>
              </w:rPr>
            </w:pPr>
            <w:r w:rsidRPr="00BA1C5D">
              <w:rPr>
                <w:rFonts w:ascii="Century Gothic" w:hAnsi="Century Gothic"/>
                <w:sz w:val="20"/>
              </w:rPr>
              <w:t>54</w:t>
            </w:r>
            <w:r w:rsidR="00940D6A" w:rsidRPr="00BA1C5D">
              <w:rPr>
                <w:rFonts w:ascii="Century Gothic" w:hAnsi="Century Gothic"/>
                <w:sz w:val="20"/>
              </w:rPr>
              <w:t>-0</w:t>
            </w:r>
          </w:p>
        </w:tc>
      </w:tr>
    </w:tbl>
    <w:p w:rsidR="00E3792F" w:rsidRDefault="00E3792F" w:rsidP="00437B62">
      <w:pPr>
        <w:jc w:val="both"/>
        <w:rPr>
          <w:rFonts w:ascii="Century Gothic" w:hAnsi="Century Gothic"/>
          <w:sz w:val="20"/>
        </w:rPr>
      </w:pPr>
    </w:p>
    <w:p w:rsidR="00E760FE" w:rsidRDefault="00E760FE" w:rsidP="00E760FE">
      <w:pPr>
        <w:ind w:left="720"/>
        <w:jc w:val="both"/>
        <w:rPr>
          <w:rFonts w:ascii="Century Gothic" w:hAnsi="Century Gothic"/>
          <w:sz w:val="20"/>
        </w:rPr>
      </w:pPr>
    </w:p>
    <w:p w:rsidR="001465B8" w:rsidRDefault="001465B8" w:rsidP="00437B62">
      <w:pPr>
        <w:jc w:val="both"/>
        <w:rPr>
          <w:rFonts w:ascii="Century Gothic" w:hAnsi="Century Gothic"/>
          <w:sz w:val="20"/>
        </w:rPr>
      </w:pPr>
    </w:p>
    <w:p w:rsidR="007F12DA" w:rsidRPr="00BA1C5D" w:rsidRDefault="007F12DA" w:rsidP="00437B62">
      <w:pPr>
        <w:jc w:val="both"/>
        <w:rPr>
          <w:rFonts w:ascii="Century Gothic" w:hAnsi="Century Gothic"/>
          <w:b/>
          <w:sz w:val="20"/>
        </w:rPr>
      </w:pPr>
      <w:r w:rsidRPr="00BA1C5D">
        <w:rPr>
          <w:rFonts w:ascii="Century Gothic" w:hAnsi="Century Gothic"/>
          <w:b/>
          <w:sz w:val="20"/>
        </w:rPr>
        <w:t>Students with special needs:</w:t>
      </w:r>
    </w:p>
    <w:p w:rsidR="007F12DA" w:rsidRPr="004A5C12" w:rsidRDefault="007F12DA" w:rsidP="00437B62">
      <w:pPr>
        <w:jc w:val="both"/>
        <w:rPr>
          <w:rFonts w:ascii="Century Gothic" w:hAnsi="Century Gothic"/>
          <w:sz w:val="20"/>
        </w:rPr>
      </w:pPr>
      <w:r w:rsidRPr="00BA1C5D">
        <w:rPr>
          <w:rFonts w:ascii="Century Gothic" w:hAnsi="Century Gothic"/>
          <w:sz w:val="20"/>
        </w:rPr>
        <w:t xml:space="preserve">Students with special physical needs and requesting classroom accommodation must first register with the Dean of </w:t>
      </w:r>
      <w:r w:rsidR="00E22F6B" w:rsidRPr="00BA1C5D">
        <w:rPr>
          <w:rFonts w:ascii="Century Gothic" w:hAnsi="Century Gothic"/>
          <w:sz w:val="20"/>
        </w:rPr>
        <w:t xml:space="preserve">Students Office, all application to provide an equal learning environment for all will be </w:t>
      </w:r>
      <w:r w:rsidR="00437B62" w:rsidRPr="00BA1C5D">
        <w:rPr>
          <w:rFonts w:ascii="Century Gothic" w:hAnsi="Century Gothic"/>
          <w:sz w:val="20"/>
        </w:rPr>
        <w:t>g</w:t>
      </w:r>
      <w:r w:rsidR="00E22F6B" w:rsidRPr="00BA1C5D">
        <w:rPr>
          <w:rFonts w:ascii="Century Gothic" w:hAnsi="Century Gothic"/>
          <w:sz w:val="20"/>
        </w:rPr>
        <w:t>uarantee</w:t>
      </w:r>
      <w:r w:rsidR="00257456" w:rsidRPr="00BA1C5D">
        <w:rPr>
          <w:rFonts w:ascii="Century Gothic" w:hAnsi="Century Gothic"/>
          <w:sz w:val="20"/>
        </w:rPr>
        <w:t>d</w:t>
      </w:r>
      <w:r w:rsidR="00E22F6B" w:rsidRPr="00BA1C5D">
        <w:rPr>
          <w:rFonts w:ascii="Century Gothic" w:hAnsi="Century Gothic"/>
          <w:sz w:val="20"/>
        </w:rPr>
        <w:t>.</w:t>
      </w:r>
    </w:p>
    <w:p w:rsidR="00870379" w:rsidRPr="004A5C12" w:rsidRDefault="00870379" w:rsidP="00437B62">
      <w:pPr>
        <w:pStyle w:val="Listaszerbekezds"/>
        <w:widowControl/>
        <w:jc w:val="both"/>
        <w:rPr>
          <w:rFonts w:ascii="Century Gothic" w:hAnsi="Century Gothic"/>
          <w:sz w:val="20"/>
        </w:rPr>
      </w:pPr>
    </w:p>
    <w:p w:rsidR="00022C5C" w:rsidRPr="004A5C12" w:rsidRDefault="00022C5C" w:rsidP="00B97B48">
      <w:pPr>
        <w:rPr>
          <w:rFonts w:ascii="Century Gothic" w:hAnsi="Century Gothic"/>
          <w:sz w:val="20"/>
        </w:rPr>
      </w:pPr>
    </w:p>
    <w:sectPr w:rsidR="00022C5C" w:rsidRPr="004A5C12" w:rsidSect="00367611">
      <w:headerReference w:type="default" r:id="rId11"/>
      <w:footerReference w:type="default" r:id="rId12"/>
      <w:endnotePr>
        <w:numFmt w:val="decimal"/>
      </w:endnotePr>
      <w:type w:val="continuous"/>
      <w:pgSz w:w="12240" w:h="15840"/>
      <w:pgMar w:top="1440" w:right="1080" w:bottom="1440" w:left="108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02" w:rsidRDefault="00BA0702" w:rsidP="009F5A79">
      <w:r>
        <w:separator/>
      </w:r>
    </w:p>
  </w:endnote>
  <w:endnote w:type="continuationSeparator" w:id="0">
    <w:p w:rsidR="00BA0702" w:rsidRDefault="00BA0702" w:rsidP="009F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B8" w:rsidRDefault="008A49B8">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02" w:rsidRDefault="00BA0702" w:rsidP="009F5A79">
      <w:r>
        <w:separator/>
      </w:r>
    </w:p>
  </w:footnote>
  <w:footnote w:type="continuationSeparator" w:id="0">
    <w:p w:rsidR="00BA0702" w:rsidRDefault="00BA0702" w:rsidP="009F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B8" w:rsidRPr="00714EA6" w:rsidRDefault="008A49B8">
    <w:pPr>
      <w:pStyle w:val="lfej"/>
      <w:rPr>
        <w:rFonts w:ascii="Century Gothic" w:hAnsi="Century Gothic"/>
        <w:smallCaps/>
        <w:sz w:val="20"/>
        <w:shd w:val="clear" w:color="auto" w:fill="FFFFFF"/>
      </w:rPr>
    </w:pPr>
    <w:smartTag w:uri="urn:schemas-microsoft-com:office:smarttags" w:element="place">
      <w:smartTag w:uri="urn:schemas-microsoft-com:office:smarttags" w:element="PlaceType">
        <w:r w:rsidRPr="00714EA6">
          <w:rPr>
            <w:rFonts w:ascii="Century Gothic" w:hAnsi="Century Gothic"/>
            <w:smallCaps/>
            <w:sz w:val="20"/>
          </w:rPr>
          <w:t>University</w:t>
        </w:r>
      </w:smartTag>
      <w:r w:rsidRPr="00714EA6">
        <w:rPr>
          <w:rFonts w:ascii="Century Gothic" w:hAnsi="Century Gothic"/>
          <w:smallCaps/>
          <w:sz w:val="20"/>
        </w:rPr>
        <w:t xml:space="preserve"> of </w:t>
      </w:r>
      <w:smartTag w:uri="urn:schemas-microsoft-com:office:smarttags" w:element="PlaceName">
        <w:r w:rsidRPr="00714EA6">
          <w:rPr>
            <w:rFonts w:ascii="Century Gothic" w:hAnsi="Century Gothic"/>
            <w:smallCaps/>
            <w:sz w:val="20"/>
          </w:rPr>
          <w:t>Pécs</w:t>
        </w:r>
      </w:smartTag>
    </w:smartTag>
    <w:r w:rsidRPr="00714EA6">
      <w:rPr>
        <w:rFonts w:ascii="Century Gothic" w:hAnsi="Century Gothic"/>
        <w:smallCaps/>
        <w:sz w:val="20"/>
      </w:rPr>
      <w:t xml:space="preserve"> </w:t>
    </w:r>
    <w:r w:rsidRPr="00714EA6">
      <w:rPr>
        <w:rFonts w:ascii="Century Gothic" w:hAnsi="Century Gothic"/>
        <w:smallCaps/>
        <w:sz w:val="20"/>
        <w:shd w:val="clear" w:color="auto" w:fill="FFFFFF"/>
      </w:rPr>
      <w:t>Faculty of Engineering and Information Technology</w:t>
    </w:r>
  </w:p>
  <w:p w:rsidR="008A49B8" w:rsidRPr="00714EA6" w:rsidRDefault="008A49B8">
    <w:pPr>
      <w:pStyle w:val="lfej"/>
      <w:rPr>
        <w:rFonts w:ascii="Century Gothic" w:hAnsi="Century Gothic"/>
        <w:smallCaps/>
        <w:sz w:val="20"/>
        <w:shd w:val="clear" w:color="auto" w:fill="FFFFFF"/>
      </w:rPr>
    </w:pPr>
    <w:smartTag w:uri="urn:schemas-microsoft-com:office:smarttags" w:element="place">
      <w:smartTag w:uri="urn:schemas-microsoft-com:office:smarttags" w:element="PlaceType">
        <w:r w:rsidRPr="00F459DC">
          <w:rPr>
            <w:rFonts w:ascii="Century Gothic" w:hAnsi="Century Gothic"/>
            <w:smallCaps/>
            <w:sz w:val="20"/>
            <w:shd w:val="clear" w:color="auto" w:fill="FFFFFF"/>
          </w:rPr>
          <w:t>Institute</w:t>
        </w:r>
      </w:smartTag>
      <w:r w:rsidRPr="00F459DC">
        <w:rPr>
          <w:rFonts w:ascii="Century Gothic" w:hAnsi="Century Gothic"/>
          <w:smallCaps/>
          <w:sz w:val="20"/>
          <w:shd w:val="clear" w:color="auto" w:fill="FFFFFF"/>
        </w:rPr>
        <w:t xml:space="preserve"> of </w:t>
      </w:r>
      <w:smartTag w:uri="urn:schemas-microsoft-com:office:smarttags" w:element="PlaceName">
        <w:r w:rsidRPr="00F459DC">
          <w:rPr>
            <w:rFonts w:ascii="Century Gothic" w:hAnsi="Century Gothic"/>
            <w:smallCaps/>
            <w:sz w:val="20"/>
            <w:shd w:val="clear" w:color="auto" w:fill="FFFFFF"/>
          </w:rPr>
          <w:t>Engineering</w:t>
        </w:r>
      </w:smartTag>
    </w:smartTag>
    <w:r w:rsidRPr="00F459DC">
      <w:rPr>
        <w:rFonts w:ascii="Century Gothic" w:hAnsi="Century Gothic"/>
        <w:smallCaps/>
        <w:sz w:val="20"/>
        <w:shd w:val="clear" w:color="auto" w:fill="FFFFFF"/>
      </w:rPr>
      <w:t xml:space="preserve"> and Smart Technology</w:t>
    </w:r>
    <w:r w:rsidRPr="00714EA6">
      <w:rPr>
        <w:rFonts w:ascii="Century Gothic" w:hAnsi="Century Gothic"/>
        <w:smallCaps/>
        <w:sz w:val="20"/>
        <w:shd w:val="clear" w:color="auto" w:fill="FFFFFF"/>
      </w:rPr>
      <w:tab/>
    </w:r>
  </w:p>
  <w:p w:rsidR="008A49B8" w:rsidRPr="00714EA6" w:rsidRDefault="008A49B8">
    <w:pPr>
      <w:pStyle w:val="lfej"/>
      <w:rPr>
        <w:rFonts w:ascii="Century Gothic" w:hAnsi="Century Gothic"/>
        <w:smallCaps/>
        <w:sz w:val="20"/>
        <w:shd w:val="clear" w:color="auto" w:fill="FFFFFF"/>
      </w:rPr>
    </w:pPr>
    <w:r w:rsidRPr="00714EA6">
      <w:rPr>
        <w:rFonts w:ascii="Century Gothic" w:hAnsi="Century Gothic"/>
        <w:smallCaps/>
        <w:sz w:val="20"/>
        <w:shd w:val="clear" w:color="auto" w:fill="FFFFFF"/>
      </w:rPr>
      <w:t>20</w:t>
    </w:r>
    <w:r>
      <w:rPr>
        <w:rFonts w:ascii="Century Gothic" w:hAnsi="Century Gothic"/>
        <w:smallCaps/>
        <w:sz w:val="20"/>
        <w:shd w:val="clear" w:color="auto" w:fill="FFFFFF"/>
      </w:rPr>
      <w:t>16</w:t>
    </w:r>
    <w:r w:rsidRPr="00714EA6">
      <w:rPr>
        <w:rFonts w:ascii="Century Gothic" w:hAnsi="Century Gothic"/>
        <w:smallCaps/>
        <w:sz w:val="20"/>
        <w:shd w:val="clear" w:color="auto" w:fill="FFFFFF"/>
      </w:rPr>
      <w:t>/201</w:t>
    </w:r>
    <w:r>
      <w:rPr>
        <w:rFonts w:ascii="Century Gothic" w:hAnsi="Century Gothic"/>
        <w:smallCaps/>
        <w:sz w:val="20"/>
        <w:shd w:val="clear" w:color="auto" w:fill="FFFFFF"/>
      </w:rPr>
      <w:t>7</w:t>
    </w:r>
    <w:r w:rsidRPr="00714EA6">
      <w:rPr>
        <w:rFonts w:ascii="Century Gothic" w:hAnsi="Century Gothic"/>
        <w:smallCaps/>
        <w:sz w:val="20"/>
        <w:shd w:val="clear" w:color="auto" w:fill="FFFFFF"/>
      </w:rPr>
      <w:t>/</w:t>
    </w:r>
    <w:r>
      <w:rPr>
        <w:rFonts w:ascii="Century Gothic" w:hAnsi="Century Gothic"/>
        <w:smallCaps/>
        <w:sz w:val="20"/>
        <w:shd w:val="clear" w:color="auto" w:fill="FFFFFF"/>
      </w:rPr>
      <w:t>1</w:t>
    </w:r>
    <w:r w:rsidRPr="00714EA6">
      <w:rPr>
        <w:rFonts w:ascii="Century Gothic" w:hAnsi="Century Gothic"/>
        <w:smallCaps/>
        <w:sz w:val="20"/>
        <w:shd w:val="clear" w:color="auto" w:fill="FFFFFF"/>
      </w:rPr>
      <w:t>.</w:t>
    </w:r>
  </w:p>
  <w:p w:rsidR="008A49B8" w:rsidRDefault="008A49B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E72E37"/>
    <w:multiLevelType w:val="hybridMultilevel"/>
    <w:tmpl w:val="5106B71A"/>
    <w:lvl w:ilvl="0" w:tplc="52B2FCC2">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nsid w:val="0B057E1F"/>
    <w:multiLevelType w:val="hybridMultilevel"/>
    <w:tmpl w:val="7A0A676C"/>
    <w:lvl w:ilvl="0" w:tplc="2BC0EBB0">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0C031399"/>
    <w:multiLevelType w:val="hybridMultilevel"/>
    <w:tmpl w:val="90F20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DB437E"/>
    <w:multiLevelType w:val="hybridMultilevel"/>
    <w:tmpl w:val="D674CB40"/>
    <w:lvl w:ilvl="0" w:tplc="9946B608">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nsid w:val="28697AD6"/>
    <w:multiLevelType w:val="hybridMultilevel"/>
    <w:tmpl w:val="BFEC60C8"/>
    <w:lvl w:ilvl="0" w:tplc="A1C45EF2">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nsid w:val="3EA74101"/>
    <w:multiLevelType w:val="hybridMultilevel"/>
    <w:tmpl w:val="F0908A92"/>
    <w:lvl w:ilvl="0" w:tplc="AD7AB57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nsid w:val="4AB674AB"/>
    <w:multiLevelType w:val="hybridMultilevel"/>
    <w:tmpl w:val="FAA8B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8F202EE"/>
    <w:multiLevelType w:val="hybridMultilevel"/>
    <w:tmpl w:val="C55CFAB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38A71B0"/>
    <w:multiLevelType w:val="hybridMultilevel"/>
    <w:tmpl w:val="F238EFA6"/>
    <w:lvl w:ilvl="0" w:tplc="A46A1550">
      <w:start w:val="1"/>
      <w:numFmt w:val="lowerLetter"/>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374195"/>
    <w:multiLevelType w:val="hybridMultilevel"/>
    <w:tmpl w:val="756E8498"/>
    <w:lvl w:ilvl="0" w:tplc="358202F6">
      <w:start w:val="1"/>
      <w:numFmt w:val="decimal"/>
      <w:lvlText w:val="%1."/>
      <w:lvlJc w:val="left"/>
      <w:pPr>
        <w:ind w:left="1080" w:hanging="720"/>
      </w:pPr>
      <w:rPr>
        <w:rFonts w:ascii="Arial Narrow" w:eastAsia="Times New Roman" w:hAnsi="Arial Narrow"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32C3D0B"/>
    <w:multiLevelType w:val="hybridMultilevel"/>
    <w:tmpl w:val="87123B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2E42DA"/>
    <w:multiLevelType w:val="hybridMultilevel"/>
    <w:tmpl w:val="569067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7763127"/>
    <w:multiLevelType w:val="hybridMultilevel"/>
    <w:tmpl w:val="5854EBA8"/>
    <w:lvl w:ilvl="0" w:tplc="602AC6D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83D1473"/>
    <w:multiLevelType w:val="hybridMultilevel"/>
    <w:tmpl w:val="4336F6DA"/>
    <w:lvl w:ilvl="0" w:tplc="4A6A2F7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3"/>
  </w:num>
  <w:num w:numId="2">
    <w:abstractNumId w:val="3"/>
  </w:num>
  <w:num w:numId="3">
    <w:abstractNumId w:val="0"/>
  </w:num>
  <w:num w:numId="4">
    <w:abstractNumId w:val="10"/>
  </w:num>
  <w:num w:numId="5">
    <w:abstractNumId w:val="9"/>
  </w:num>
  <w:num w:numId="6">
    <w:abstractNumId w:val="11"/>
  </w:num>
  <w:num w:numId="7">
    <w:abstractNumId w:val="14"/>
  </w:num>
  <w:num w:numId="8">
    <w:abstractNumId w:val="1"/>
  </w:num>
  <w:num w:numId="9">
    <w:abstractNumId w:val="5"/>
  </w:num>
  <w:num w:numId="10">
    <w:abstractNumId w:val="2"/>
  </w:num>
  <w:num w:numId="11">
    <w:abstractNumId w:val="4"/>
  </w:num>
  <w:num w:numId="12">
    <w:abstractNumId w:val="6"/>
  </w:num>
  <w:num w:numId="13">
    <w:abstractNumId w:val="7"/>
  </w:num>
  <w:num w:numId="14">
    <w:abstractNumId w:val="1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DD1798"/>
    <w:rsid w:val="00022C5C"/>
    <w:rsid w:val="00085D09"/>
    <w:rsid w:val="0009383D"/>
    <w:rsid w:val="000B39AE"/>
    <w:rsid w:val="000F77FF"/>
    <w:rsid w:val="00115DC5"/>
    <w:rsid w:val="001465B8"/>
    <w:rsid w:val="0015764B"/>
    <w:rsid w:val="00161185"/>
    <w:rsid w:val="001844C5"/>
    <w:rsid w:val="00193BC4"/>
    <w:rsid w:val="001B1467"/>
    <w:rsid w:val="00213162"/>
    <w:rsid w:val="00257456"/>
    <w:rsid w:val="00265BCD"/>
    <w:rsid w:val="002A3975"/>
    <w:rsid w:val="002B3038"/>
    <w:rsid w:val="002B7FA4"/>
    <w:rsid w:val="002D70CE"/>
    <w:rsid w:val="00352AC5"/>
    <w:rsid w:val="00367611"/>
    <w:rsid w:val="00380EB4"/>
    <w:rsid w:val="00383E5A"/>
    <w:rsid w:val="00385EAE"/>
    <w:rsid w:val="0039510E"/>
    <w:rsid w:val="003A1F44"/>
    <w:rsid w:val="003E473B"/>
    <w:rsid w:val="003E511E"/>
    <w:rsid w:val="004026D8"/>
    <w:rsid w:val="0040360C"/>
    <w:rsid w:val="004055E8"/>
    <w:rsid w:val="00414023"/>
    <w:rsid w:val="00437B62"/>
    <w:rsid w:val="0047575B"/>
    <w:rsid w:val="004A5C12"/>
    <w:rsid w:val="004C273C"/>
    <w:rsid w:val="004E7B52"/>
    <w:rsid w:val="005A4F7D"/>
    <w:rsid w:val="005F038C"/>
    <w:rsid w:val="005F1F70"/>
    <w:rsid w:val="0060037B"/>
    <w:rsid w:val="00652B40"/>
    <w:rsid w:val="00665DFE"/>
    <w:rsid w:val="006A7702"/>
    <w:rsid w:val="006B4AD0"/>
    <w:rsid w:val="006C7CD0"/>
    <w:rsid w:val="006D684A"/>
    <w:rsid w:val="006F10E3"/>
    <w:rsid w:val="006F6986"/>
    <w:rsid w:val="00714EA6"/>
    <w:rsid w:val="00735A20"/>
    <w:rsid w:val="007A7C89"/>
    <w:rsid w:val="007F12DA"/>
    <w:rsid w:val="00832505"/>
    <w:rsid w:val="00847D9C"/>
    <w:rsid w:val="00863A36"/>
    <w:rsid w:val="00870379"/>
    <w:rsid w:val="00873185"/>
    <w:rsid w:val="00877399"/>
    <w:rsid w:val="008A49B8"/>
    <w:rsid w:val="008B4037"/>
    <w:rsid w:val="008B4E30"/>
    <w:rsid w:val="008D27AC"/>
    <w:rsid w:val="008D442F"/>
    <w:rsid w:val="008E275D"/>
    <w:rsid w:val="00933AC0"/>
    <w:rsid w:val="00935090"/>
    <w:rsid w:val="00940D6A"/>
    <w:rsid w:val="00991F57"/>
    <w:rsid w:val="00993F34"/>
    <w:rsid w:val="009B15C6"/>
    <w:rsid w:val="009F5A79"/>
    <w:rsid w:val="00A5225E"/>
    <w:rsid w:val="00A66086"/>
    <w:rsid w:val="00AF6C4F"/>
    <w:rsid w:val="00B66C00"/>
    <w:rsid w:val="00B73FCB"/>
    <w:rsid w:val="00B97B48"/>
    <w:rsid w:val="00BA0702"/>
    <w:rsid w:val="00BA1C5D"/>
    <w:rsid w:val="00C341E6"/>
    <w:rsid w:val="00C95E63"/>
    <w:rsid w:val="00D55FBA"/>
    <w:rsid w:val="00D96B39"/>
    <w:rsid w:val="00DD1798"/>
    <w:rsid w:val="00E147E7"/>
    <w:rsid w:val="00E22F6B"/>
    <w:rsid w:val="00E360DD"/>
    <w:rsid w:val="00E3792F"/>
    <w:rsid w:val="00E441A5"/>
    <w:rsid w:val="00E760FE"/>
    <w:rsid w:val="00EA47F8"/>
    <w:rsid w:val="00EA72E2"/>
    <w:rsid w:val="00EC724A"/>
    <w:rsid w:val="00EF16F6"/>
    <w:rsid w:val="00F21C0E"/>
    <w:rsid w:val="00F2207F"/>
    <w:rsid w:val="00F459DC"/>
    <w:rsid w:val="00F619DC"/>
    <w:rsid w:val="00FA68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870379"/>
    <w:pPr>
      <w:widowControl w:val="0"/>
    </w:pPr>
    <w:rPr>
      <w:rFonts w:ascii="Courier" w:eastAsia="Times New Roman" w:hAnsi="Courier"/>
      <w:snapToGrid w:val="0"/>
      <w:sz w:val="24"/>
      <w:lang w:val="en-US" w:eastAsia="en-US"/>
    </w:rPr>
  </w:style>
  <w:style w:type="paragraph" w:styleId="Cmsor1">
    <w:name w:val="heading 1"/>
    <w:basedOn w:val="Norml"/>
    <w:next w:val="Norml"/>
    <w:link w:val="Cmsor1Char"/>
    <w:uiPriority w:val="9"/>
    <w:qFormat/>
    <w:rsid w:val="00EA47F8"/>
    <w:pPr>
      <w:keepNext/>
      <w:spacing w:line="360" w:lineRule="auto"/>
      <w:outlineLvl w:val="0"/>
    </w:pPr>
    <w:rPr>
      <w:b/>
      <w:bCs/>
      <w:kern w:val="32"/>
      <w:szCs w:val="32"/>
    </w:rPr>
  </w:style>
  <w:style w:type="paragraph" w:styleId="Cmsor2">
    <w:name w:val="heading 2"/>
    <w:basedOn w:val="Norml"/>
    <w:next w:val="Norml"/>
    <w:link w:val="Cmsor2Char"/>
    <w:qFormat/>
    <w:rsid w:val="00EA47F8"/>
    <w:pPr>
      <w:keepNext/>
      <w:overflowPunct w:val="0"/>
      <w:autoSpaceDE w:val="0"/>
      <w:autoSpaceDN w:val="0"/>
      <w:adjustRightInd w:val="0"/>
      <w:textAlignment w:val="baseline"/>
      <w:outlineLvl w:val="1"/>
    </w:pPr>
    <w:rPr>
      <w:b/>
      <w:bCs/>
      <w:lang w:eastAsia="hu-HU"/>
    </w:rPr>
  </w:style>
  <w:style w:type="paragraph" w:styleId="Cmsor3">
    <w:name w:val="heading 3"/>
    <w:basedOn w:val="Norml"/>
    <w:next w:val="Norml"/>
    <w:link w:val="Cmsor3Char"/>
    <w:uiPriority w:val="9"/>
    <w:qFormat/>
    <w:rsid w:val="00EA47F8"/>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47F8"/>
    <w:rPr>
      <w:rFonts w:ascii="Times New Roman" w:eastAsia="Times New Roman" w:hAnsi="Times New Roman"/>
      <w:b/>
      <w:bCs/>
      <w:kern w:val="32"/>
      <w:sz w:val="24"/>
      <w:szCs w:val="32"/>
      <w:lang w:eastAsia="en-US"/>
    </w:rPr>
  </w:style>
  <w:style w:type="character" w:customStyle="1" w:styleId="Cmsor2Char">
    <w:name w:val="Címsor 2 Char"/>
    <w:basedOn w:val="Bekezdsalapbettpusa"/>
    <w:link w:val="Cmsor2"/>
    <w:rsid w:val="00EA47F8"/>
    <w:rPr>
      <w:rFonts w:ascii="Times New Roman" w:hAnsi="Times New Roman"/>
      <w:b/>
      <w:bCs/>
      <w:sz w:val="24"/>
      <w:lang w:val="en-US"/>
    </w:rPr>
  </w:style>
  <w:style w:type="character" w:customStyle="1" w:styleId="Cmsor3Char">
    <w:name w:val="Címsor 3 Char"/>
    <w:basedOn w:val="Bekezdsalapbettpusa"/>
    <w:link w:val="Cmsor3"/>
    <w:uiPriority w:val="9"/>
    <w:rsid w:val="00EA47F8"/>
    <w:rPr>
      <w:rFonts w:ascii="Cambria" w:eastAsia="Times New Roman" w:hAnsi="Cambria" w:cs="Times New Roman"/>
      <w:b/>
      <w:bCs/>
      <w:sz w:val="26"/>
      <w:szCs w:val="26"/>
      <w:lang w:eastAsia="en-US"/>
    </w:rPr>
  </w:style>
  <w:style w:type="paragraph" w:styleId="Nincstrkz">
    <w:name w:val="No Spacing"/>
    <w:uiPriority w:val="1"/>
    <w:qFormat/>
    <w:rsid w:val="00EA47F8"/>
    <w:rPr>
      <w:rFonts w:eastAsia="Times New Roman"/>
      <w:sz w:val="22"/>
      <w:szCs w:val="22"/>
      <w:lang w:eastAsia="en-US"/>
    </w:rPr>
  </w:style>
  <w:style w:type="paragraph" w:styleId="Tartalomjegyzkcmsora">
    <w:name w:val="TOC Heading"/>
    <w:basedOn w:val="Cmsor1"/>
    <w:next w:val="Norml"/>
    <w:uiPriority w:val="39"/>
    <w:qFormat/>
    <w:rsid w:val="00EA47F8"/>
    <w:pPr>
      <w:keepLines/>
      <w:spacing w:before="480"/>
      <w:outlineLvl w:val="9"/>
    </w:pPr>
    <w:rPr>
      <w:rFonts w:ascii="Cambria" w:hAnsi="Cambria"/>
      <w:color w:val="365F91"/>
      <w:kern w:val="0"/>
      <w:sz w:val="28"/>
      <w:szCs w:val="28"/>
    </w:rPr>
  </w:style>
  <w:style w:type="character" w:customStyle="1" w:styleId="Stlus1">
    <w:name w:val="Stílus1"/>
    <w:basedOn w:val="Bekezdsalapbettpusa"/>
    <w:uiPriority w:val="1"/>
    <w:qFormat/>
    <w:rsid w:val="00EA47F8"/>
    <w:rPr>
      <w:rFonts w:ascii="Times New Roman" w:hAnsi="Times New Roman"/>
      <w:color w:val="auto"/>
      <w:sz w:val="20"/>
      <w:szCs w:val="20"/>
    </w:rPr>
  </w:style>
  <w:style w:type="paragraph" w:styleId="lfej">
    <w:name w:val="header"/>
    <w:basedOn w:val="Norml"/>
    <w:link w:val="lfejChar"/>
    <w:uiPriority w:val="99"/>
    <w:rsid w:val="00870379"/>
    <w:pPr>
      <w:tabs>
        <w:tab w:val="center" w:pos="4320"/>
        <w:tab w:val="right" w:pos="8640"/>
      </w:tabs>
    </w:pPr>
  </w:style>
  <w:style w:type="character" w:customStyle="1" w:styleId="lfejChar">
    <w:name w:val="Élőfej Char"/>
    <w:basedOn w:val="Bekezdsalapbettpusa"/>
    <w:link w:val="lfej"/>
    <w:uiPriority w:val="99"/>
    <w:rsid w:val="00870379"/>
    <w:rPr>
      <w:rFonts w:ascii="Courier" w:eastAsia="Times New Roman" w:hAnsi="Courier"/>
      <w:snapToGrid w:val="0"/>
      <w:sz w:val="24"/>
      <w:lang w:val="en-US" w:eastAsia="en-US"/>
    </w:rPr>
  </w:style>
  <w:style w:type="paragraph" w:styleId="Listaszerbekezds">
    <w:name w:val="List Paragraph"/>
    <w:basedOn w:val="Norml"/>
    <w:qFormat/>
    <w:rsid w:val="00870379"/>
    <w:pPr>
      <w:ind w:left="720"/>
      <w:contextualSpacing/>
    </w:pPr>
  </w:style>
  <w:style w:type="paragraph" w:styleId="llb">
    <w:name w:val="footer"/>
    <w:basedOn w:val="Norml"/>
    <w:link w:val="llbChar"/>
    <w:uiPriority w:val="99"/>
    <w:semiHidden/>
    <w:unhideWhenUsed/>
    <w:rsid w:val="009F5A79"/>
    <w:pPr>
      <w:tabs>
        <w:tab w:val="center" w:pos="4536"/>
        <w:tab w:val="right" w:pos="9072"/>
      </w:tabs>
    </w:pPr>
  </w:style>
  <w:style w:type="character" w:customStyle="1" w:styleId="llbChar">
    <w:name w:val="Élőláb Char"/>
    <w:basedOn w:val="Bekezdsalapbettpusa"/>
    <w:link w:val="llb"/>
    <w:uiPriority w:val="99"/>
    <w:semiHidden/>
    <w:rsid w:val="009F5A79"/>
    <w:rPr>
      <w:rFonts w:ascii="Courier" w:eastAsia="Times New Roman" w:hAnsi="Courier"/>
      <w:snapToGrid w:val="0"/>
      <w:sz w:val="24"/>
      <w:lang w:val="en-US" w:eastAsia="en-US"/>
    </w:rPr>
  </w:style>
  <w:style w:type="paragraph" w:styleId="Buborkszveg">
    <w:name w:val="Balloon Text"/>
    <w:basedOn w:val="Norml"/>
    <w:link w:val="BuborkszvegChar"/>
    <w:uiPriority w:val="99"/>
    <w:semiHidden/>
    <w:unhideWhenUsed/>
    <w:rsid w:val="009F5A79"/>
    <w:rPr>
      <w:rFonts w:ascii="Tahoma" w:hAnsi="Tahoma" w:cs="Tahoma"/>
      <w:sz w:val="16"/>
      <w:szCs w:val="16"/>
    </w:rPr>
  </w:style>
  <w:style w:type="character" w:customStyle="1" w:styleId="BuborkszvegChar">
    <w:name w:val="Buborékszöveg Char"/>
    <w:basedOn w:val="Bekezdsalapbettpusa"/>
    <w:link w:val="Buborkszveg"/>
    <w:uiPriority w:val="99"/>
    <w:semiHidden/>
    <w:rsid w:val="009F5A79"/>
    <w:rPr>
      <w:rFonts w:ascii="Tahoma" w:eastAsia="Times New Roman" w:hAnsi="Tahoma" w:cs="Tahoma"/>
      <w:snapToGrid w:val="0"/>
      <w:sz w:val="16"/>
      <w:szCs w:val="16"/>
      <w:lang w:val="en-US" w:eastAsia="en-US"/>
    </w:rPr>
  </w:style>
  <w:style w:type="table" w:styleId="Rcsostblzat">
    <w:name w:val="Table Grid"/>
    <w:basedOn w:val="Normltblzat"/>
    <w:uiPriority w:val="59"/>
    <w:rsid w:val="0038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60037B"/>
    <w:rPr>
      <w:sz w:val="20"/>
    </w:rPr>
  </w:style>
  <w:style w:type="character" w:customStyle="1" w:styleId="LbjegyzetszvegChar">
    <w:name w:val="Lábjegyzetszöveg Char"/>
    <w:basedOn w:val="Bekezdsalapbettpusa"/>
    <w:link w:val="Lbjegyzetszveg"/>
    <w:uiPriority w:val="99"/>
    <w:semiHidden/>
    <w:rsid w:val="0060037B"/>
    <w:rPr>
      <w:rFonts w:ascii="Courier" w:eastAsia="Times New Roman" w:hAnsi="Courier"/>
      <w:snapToGrid w:val="0"/>
      <w:lang w:val="en-US" w:eastAsia="en-US"/>
    </w:rPr>
  </w:style>
  <w:style w:type="character" w:styleId="Lbjegyzet-hivatkozs">
    <w:name w:val="footnote reference"/>
    <w:basedOn w:val="Bekezdsalapbettpusa"/>
    <w:uiPriority w:val="99"/>
    <w:semiHidden/>
    <w:unhideWhenUsed/>
    <w:rsid w:val="0060037B"/>
    <w:rPr>
      <w:vertAlign w:val="superscript"/>
    </w:rPr>
  </w:style>
  <w:style w:type="character" w:customStyle="1" w:styleId="bylinepipe">
    <w:name w:val="bylinepipe"/>
    <w:basedOn w:val="Bekezdsalapbettpusa"/>
    <w:rsid w:val="00D96B39"/>
  </w:style>
  <w:style w:type="character" w:customStyle="1" w:styleId="apple-converted-space">
    <w:name w:val="apple-converted-space"/>
    <w:basedOn w:val="Bekezdsalapbettpusa"/>
    <w:rsid w:val="00D96B39"/>
  </w:style>
  <w:style w:type="character" w:styleId="Hiperhivatkozs">
    <w:name w:val="Hyperlink"/>
    <w:basedOn w:val="Bekezdsalapbettpusa"/>
    <w:rsid w:val="00D55FBA"/>
    <w:rPr>
      <w:color w:val="0000FF"/>
      <w:u w:val="single"/>
    </w:rPr>
  </w:style>
  <w:style w:type="paragraph" w:styleId="NormlWeb">
    <w:name w:val="Normal (Web)"/>
    <w:basedOn w:val="Norml"/>
    <w:rsid w:val="00A66086"/>
    <w:pPr>
      <w:widowControl/>
      <w:spacing w:before="100" w:beforeAutospacing="1" w:after="100" w:afterAutospacing="1"/>
    </w:pPr>
    <w:rPr>
      <w:rFonts w:ascii="Times New Roman" w:hAnsi="Times New Roman"/>
      <w:snapToGrid/>
      <w:szCs w:val="24"/>
      <w:lang w:val="hu-HU" w:eastAsia="hu-HU"/>
    </w:rPr>
  </w:style>
  <w:style w:type="paragraph" w:customStyle="1" w:styleId="font8">
    <w:name w:val="font_8"/>
    <w:basedOn w:val="Norml"/>
    <w:rsid w:val="00832505"/>
    <w:pPr>
      <w:widowControl/>
      <w:spacing w:before="100" w:beforeAutospacing="1" w:after="100" w:afterAutospacing="1"/>
    </w:pPr>
    <w:rPr>
      <w:rFonts w:ascii="Times New Roman" w:hAnsi="Times New Roman"/>
      <w:snapToGrid/>
      <w:szCs w:val="24"/>
      <w:lang w:val="hu-HU" w:eastAsia="hu-HU"/>
    </w:rPr>
  </w:style>
  <w:style w:type="paragraph" w:customStyle="1" w:styleId="NoSpacing">
    <w:name w:val="No Spacing"/>
    <w:qFormat/>
    <w:rsid w:val="00F459DC"/>
    <w:pPr>
      <w:jc w:val="both"/>
    </w:pPr>
    <w:rPr>
      <w:rFonts w:ascii="Arial" w:eastAsia="Times New Roman" w:hAnsi="Arial"/>
      <w:sz w:val="22"/>
      <w:szCs w:val="24"/>
    </w:rPr>
  </w:style>
  <w:style w:type="character" w:customStyle="1" w:styleId="shorttext">
    <w:name w:val="short_text"/>
    <w:basedOn w:val="Bekezdsalapbettpusa"/>
    <w:rsid w:val="008A49B8"/>
  </w:style>
</w:styles>
</file>

<file path=word/webSettings.xml><?xml version="1.0" encoding="utf-8"?>
<w:webSettings xmlns:r="http://schemas.openxmlformats.org/officeDocument/2006/relationships" xmlns:w="http://schemas.openxmlformats.org/wordprocessingml/2006/main">
  <w:divs>
    <w:div w:id="611480881">
      <w:bodyDiv w:val="1"/>
      <w:marLeft w:val="0"/>
      <w:marRight w:val="0"/>
      <w:marTop w:val="0"/>
      <w:marBottom w:val="0"/>
      <w:divBdr>
        <w:top w:val="none" w:sz="0" w:space="0" w:color="auto"/>
        <w:left w:val="none" w:sz="0" w:space="0" w:color="auto"/>
        <w:bottom w:val="none" w:sz="0" w:space="0" w:color="auto"/>
        <w:right w:val="none" w:sz="0" w:space="0" w:color="auto"/>
      </w:divBdr>
    </w:div>
    <w:div w:id="1470130091">
      <w:bodyDiv w:val="1"/>
      <w:marLeft w:val="0"/>
      <w:marRight w:val="0"/>
      <w:marTop w:val="0"/>
      <w:marBottom w:val="0"/>
      <w:divBdr>
        <w:top w:val="none" w:sz="0" w:space="0" w:color="auto"/>
        <w:left w:val="none" w:sz="0" w:space="0" w:color="auto"/>
        <w:bottom w:val="none" w:sz="0" w:space="0" w:color="auto"/>
        <w:right w:val="none" w:sz="0" w:space="0" w:color="auto"/>
      </w:divBdr>
      <w:divsChild>
        <w:div w:id="1947954966">
          <w:marLeft w:val="0"/>
          <w:marRight w:val="0"/>
          <w:marTop w:val="0"/>
          <w:marBottom w:val="0"/>
          <w:divBdr>
            <w:top w:val="none" w:sz="0" w:space="0" w:color="auto"/>
            <w:left w:val="none" w:sz="0" w:space="0" w:color="auto"/>
            <w:bottom w:val="none" w:sz="0" w:space="0" w:color="auto"/>
            <w:right w:val="none" w:sz="0" w:space="0" w:color="auto"/>
          </w:divBdr>
          <w:divsChild>
            <w:div w:id="487719155">
              <w:marLeft w:val="0"/>
              <w:marRight w:val="0"/>
              <w:marTop w:val="0"/>
              <w:marBottom w:val="0"/>
              <w:divBdr>
                <w:top w:val="none" w:sz="0" w:space="0" w:color="auto"/>
                <w:left w:val="none" w:sz="0" w:space="0" w:color="auto"/>
                <w:bottom w:val="none" w:sz="0" w:space="0" w:color="auto"/>
                <w:right w:val="none" w:sz="0" w:space="0" w:color="auto"/>
              </w:divBdr>
              <w:divsChild>
                <w:div w:id="2001501327">
                  <w:marLeft w:val="0"/>
                  <w:marRight w:val="0"/>
                  <w:marTop w:val="0"/>
                  <w:marBottom w:val="0"/>
                  <w:divBdr>
                    <w:top w:val="none" w:sz="0" w:space="0" w:color="auto"/>
                    <w:left w:val="none" w:sz="0" w:space="0" w:color="auto"/>
                    <w:bottom w:val="none" w:sz="0" w:space="0" w:color="auto"/>
                    <w:right w:val="none" w:sz="0" w:space="0" w:color="auto"/>
                  </w:divBdr>
                  <w:divsChild>
                    <w:div w:id="98837790">
                      <w:marLeft w:val="0"/>
                      <w:marRight w:val="0"/>
                      <w:marTop w:val="0"/>
                      <w:marBottom w:val="0"/>
                      <w:divBdr>
                        <w:top w:val="none" w:sz="0" w:space="0" w:color="auto"/>
                        <w:left w:val="none" w:sz="0" w:space="0" w:color="auto"/>
                        <w:bottom w:val="none" w:sz="0" w:space="0" w:color="auto"/>
                        <w:right w:val="none" w:sz="0" w:space="0" w:color="auto"/>
                      </w:divBdr>
                      <w:divsChild>
                        <w:div w:id="254174522">
                          <w:marLeft w:val="0"/>
                          <w:marRight w:val="0"/>
                          <w:marTop w:val="0"/>
                          <w:marBottom w:val="0"/>
                          <w:divBdr>
                            <w:top w:val="none" w:sz="0" w:space="0" w:color="auto"/>
                            <w:left w:val="none" w:sz="0" w:space="0" w:color="auto"/>
                            <w:bottom w:val="none" w:sz="0" w:space="0" w:color="auto"/>
                            <w:right w:val="none" w:sz="0" w:space="0" w:color="auto"/>
                          </w:divBdr>
                          <w:divsChild>
                            <w:div w:id="9890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22663">
          <w:marLeft w:val="0"/>
          <w:marRight w:val="0"/>
          <w:marTop w:val="0"/>
          <w:marBottom w:val="0"/>
          <w:divBdr>
            <w:top w:val="none" w:sz="0" w:space="0" w:color="auto"/>
            <w:left w:val="none" w:sz="0" w:space="0" w:color="auto"/>
            <w:bottom w:val="none" w:sz="0" w:space="0" w:color="auto"/>
            <w:right w:val="none" w:sz="0" w:space="0" w:color="auto"/>
          </w:divBdr>
        </w:div>
      </w:divsChild>
    </w:div>
    <w:div w:id="1549490299">
      <w:bodyDiv w:val="1"/>
      <w:marLeft w:val="0"/>
      <w:marRight w:val="0"/>
      <w:marTop w:val="0"/>
      <w:marBottom w:val="0"/>
      <w:divBdr>
        <w:top w:val="none" w:sz="0" w:space="0" w:color="auto"/>
        <w:left w:val="none" w:sz="0" w:space="0" w:color="auto"/>
        <w:bottom w:val="none" w:sz="0" w:space="0" w:color="auto"/>
        <w:right w:val="none" w:sz="0" w:space="0" w:color="auto"/>
      </w:divBdr>
    </w:div>
    <w:div w:id="15738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internal_market/qualifications/docs/guide/users_guide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enbach.agnes@mik.pte.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inger.com/-/0/AVQXNru_2brxj7RS2BEJ" TargetMode="External"/><Relationship Id="rId4" Type="http://schemas.openxmlformats.org/officeDocument/2006/relationships/webSettings" Target="webSettings.xml"/><Relationship Id="rId9" Type="http://schemas.openxmlformats.org/officeDocument/2006/relationships/hyperlink" Target="http://eur-lex.europa.eu/legal-content/HU/TXT/?uri=URISERV:c11065"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5539</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BUILDING DESIGN 1</vt:lpstr>
    </vt:vector>
  </TitlesOfParts>
  <Company>NoOrg</Company>
  <LinksUpToDate>false</LinksUpToDate>
  <CharactersWithSpaces>6329</CharactersWithSpaces>
  <SharedDoc>false</SharedDoc>
  <HLinks>
    <vt:vector size="24" baseType="variant">
      <vt:variant>
        <vt:i4>3801163</vt:i4>
      </vt:variant>
      <vt:variant>
        <vt:i4>9</vt:i4>
      </vt:variant>
      <vt:variant>
        <vt:i4>0</vt:i4>
      </vt:variant>
      <vt:variant>
        <vt:i4>5</vt:i4>
      </vt:variant>
      <vt:variant>
        <vt:lpwstr>http://www.springer.com/-/0/AVQXNru_2brxj7RS2BEJ</vt:lpwstr>
      </vt:variant>
      <vt:variant>
        <vt:lpwstr/>
      </vt:variant>
      <vt:variant>
        <vt:i4>524309</vt:i4>
      </vt:variant>
      <vt:variant>
        <vt:i4>6</vt:i4>
      </vt:variant>
      <vt:variant>
        <vt:i4>0</vt:i4>
      </vt:variant>
      <vt:variant>
        <vt:i4>5</vt:i4>
      </vt:variant>
      <vt:variant>
        <vt:lpwstr>http://eur-lex.europa.eu/legal-content/HU/TXT/?uri=URISERV:c11065</vt:lpwstr>
      </vt:variant>
      <vt:variant>
        <vt:lpwstr/>
      </vt:variant>
      <vt:variant>
        <vt:i4>458864</vt:i4>
      </vt:variant>
      <vt:variant>
        <vt:i4>3</vt:i4>
      </vt:variant>
      <vt:variant>
        <vt:i4>0</vt:i4>
      </vt:variant>
      <vt:variant>
        <vt:i4>5</vt:i4>
      </vt:variant>
      <vt:variant>
        <vt:lpwstr>http://ec.europa.eu/internal_market/qualifications/docs/guide/users_guide_en.pdf</vt:lpwstr>
      </vt:variant>
      <vt:variant>
        <vt:lpwstr/>
      </vt:variant>
      <vt:variant>
        <vt:i4>39</vt:i4>
      </vt:variant>
      <vt:variant>
        <vt:i4>0</vt:i4>
      </vt:variant>
      <vt:variant>
        <vt:i4>0</vt:i4>
      </vt:variant>
      <vt:variant>
        <vt:i4>5</vt:i4>
      </vt:variant>
      <vt:variant>
        <vt:lpwstr>mailto:lindenbach.agnes@mik.pte.hu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DESIGN 1</dc:title>
  <dc:creator>Noname</dc:creator>
  <cp:lastModifiedBy>Timar</cp:lastModifiedBy>
  <cp:revision>2</cp:revision>
  <cp:lastPrinted>2013-08-09T11:19:00Z</cp:lastPrinted>
  <dcterms:created xsi:type="dcterms:W3CDTF">2016-09-07T13:20:00Z</dcterms:created>
  <dcterms:modified xsi:type="dcterms:W3CDTF">2016-09-07T13:20:00Z</dcterms:modified>
</cp:coreProperties>
</file>