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46" w:rsidRDefault="003F6AD1" w:rsidP="00761E46">
      <w:pPr>
        <w:pStyle w:val="Cmsor2"/>
      </w:pPr>
      <w:r>
        <w:t xml:space="preserve">Tantárgy neve: </w:t>
      </w:r>
      <w:r w:rsidR="00761E46">
        <w:t>Iszapszerű hulladékok kezelése és biogáz hasznosítás</w:t>
      </w:r>
    </w:p>
    <w:p w:rsidR="003F6AD1" w:rsidRDefault="003F6AD1" w:rsidP="0074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Kód</w:t>
      </w:r>
      <w:proofErr w:type="gram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r w:rsidR="007445CC"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PMTKONBE123G</w:t>
      </w:r>
      <w:bookmarkEnd w:id="0"/>
      <w:proofErr w:type="gramEnd"/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Szemeszter: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Kreditszám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proofErr w:type="gramEnd"/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2-1-0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Számonkérés módja: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felelős</w:t>
      </w:r>
      <w:proofErr w:type="gram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Dittrich</w:t>
      </w:r>
      <w:proofErr w:type="spellEnd"/>
      <w:proofErr w:type="gramEnd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Ernő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koordinátor: </w:t>
      </w:r>
      <w:proofErr w:type="spellStart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Dittrich</w:t>
      </w:r>
      <w:proofErr w:type="spellEnd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Ernő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leírás:</w:t>
      </w:r>
    </w:p>
    <w:p w:rsidR="007445CC" w:rsidRPr="007445CC" w:rsidRDefault="007445CC" w:rsidP="00744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Iszapszerű hulladékok csoportosítása, jellemzése, tulajdonságai. Iszapkezelési eljárások ismertetése: sűrítés, kondicionálás, víztelenítés, aerob fermentáció, anaerob fermentáció, komposztálás, szárítás, égetés, egyéb eljárások. Iszapszerű és szilárd hulladékok anaerob irányított fermentációja biogáz termelési céllal. Biogáz hasznosítási lehetőségek. Melléktermékek (</w:t>
      </w:r>
      <w:proofErr w:type="spellStart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csurgalékvíz</w:t>
      </w:r>
      <w:proofErr w:type="spellEnd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, maradék szilárd fázis) ártalmatlanítási, hasznosítási lehetőségei. Szilárd anyag-, vízfázis-, gáz- és energia-mérlegek. Szennyvíz iszap kezelés és szennyvízkezelés kapcsolata, egymásra hatása. Gazdaságosság és megtérülés kérdései.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követelmények:</w:t>
      </w:r>
    </w:p>
    <w:p w:rsidR="007445CC" w:rsidRPr="00A5743A" w:rsidRDefault="00A5743A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TVSZ előírásainak betartása. A tantárgy által bemutatásra kerülő szakmai alapok elsaj</w:t>
      </w:r>
      <w:r w:rsidR="00870F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ítása. 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:rsidR="007445CC" w:rsidRPr="007445CC" w:rsidRDefault="007445CC" w:rsidP="00744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A kurzus célja hogy a szakon végző hallgatók alapszintű jártasságra tegyenek szert az iszapkezelő rendszerek tervezése, kivitelezése, rekonstrukciója és üzemeltetése témakörében.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Módszer:</w:t>
      </w:r>
    </w:p>
    <w:p w:rsidR="007445CC" w:rsidRPr="007445CC" w:rsidRDefault="007445CC" w:rsidP="00744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előadások és krétás gyakorlat. 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Irodalom:</w:t>
      </w:r>
    </w:p>
    <w:p w:rsidR="007445CC" w:rsidRPr="007445CC" w:rsidRDefault="007445CC" w:rsidP="007445CC">
      <w:pPr>
        <w:rPr>
          <w:rFonts w:ascii="Arial Narrow" w:hAnsi="Arial Narrow" w:cs="Arial"/>
          <w:sz w:val="24"/>
          <w:szCs w:val="24"/>
        </w:rPr>
      </w:pPr>
      <w:r w:rsidRPr="007445CC">
        <w:rPr>
          <w:rFonts w:ascii="Arial Narrow" w:hAnsi="Arial Narrow" w:cs="Arial"/>
          <w:sz w:val="24"/>
          <w:szCs w:val="24"/>
        </w:rPr>
        <w:t xml:space="preserve">Kötelező irodalom: </w:t>
      </w:r>
    </w:p>
    <w:p w:rsidR="00870F8C" w:rsidRPr="00870F8C" w:rsidRDefault="00870F8C" w:rsidP="007445CC">
      <w:pPr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proofErr w:type="spellStart"/>
      <w:r>
        <w:rPr>
          <w:rFonts w:ascii="Arial Narrow" w:hAnsi="Arial Narrow" w:cs="Arial"/>
          <w:sz w:val="24"/>
          <w:szCs w:val="24"/>
          <w:lang w:val="en-US"/>
        </w:rPr>
        <w:t>Dittrich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Ernő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Somfai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Dávid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Iszapszerű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hulladékok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kezelése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és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  <w:lang w:val="en-US"/>
        </w:rPr>
        <w:t>hasznosítása</w:t>
      </w:r>
      <w:proofErr w:type="spellEnd"/>
      <w:r>
        <w:rPr>
          <w:rFonts w:ascii="Arial Narrow" w:hAnsi="Arial Narrow" w:cs="Arial"/>
          <w:sz w:val="24"/>
          <w:szCs w:val="24"/>
          <w:lang w:val="en-US"/>
        </w:rPr>
        <w:t xml:space="preserve"> 2015</w:t>
      </w:r>
    </w:p>
    <w:p w:rsidR="007445CC" w:rsidRPr="007445CC" w:rsidRDefault="007445CC" w:rsidP="007445CC">
      <w:pPr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7445CC">
        <w:rPr>
          <w:rFonts w:ascii="Arial Narrow" w:hAnsi="Arial Narrow" w:cs="Arial"/>
          <w:sz w:val="24"/>
          <w:szCs w:val="24"/>
        </w:rPr>
        <w:t>Dr. Kárpáti Árpád (</w:t>
      </w:r>
      <w:proofErr w:type="spellStart"/>
      <w:r w:rsidRPr="007445CC">
        <w:rPr>
          <w:rFonts w:ascii="Arial Narrow" w:hAnsi="Arial Narrow" w:cs="Arial"/>
          <w:sz w:val="24"/>
          <w:szCs w:val="24"/>
        </w:rPr>
        <w:t>szerk</w:t>
      </w:r>
      <w:proofErr w:type="spellEnd"/>
      <w:r w:rsidRPr="007445CC">
        <w:rPr>
          <w:rFonts w:ascii="Arial Narrow" w:hAnsi="Arial Narrow" w:cs="Arial"/>
          <w:sz w:val="24"/>
          <w:szCs w:val="24"/>
        </w:rPr>
        <w:t>): A szennyvíztisztítás alapjai. Veszprémi egyetem 2007, digitális jegyzet. – Csak az iszapkezelési fejezetek</w:t>
      </w:r>
    </w:p>
    <w:p w:rsidR="007445CC" w:rsidRPr="007445CC" w:rsidRDefault="007445CC" w:rsidP="007445CC">
      <w:pPr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7445CC">
        <w:rPr>
          <w:rFonts w:ascii="Arial Narrow" w:hAnsi="Arial Narrow" w:cs="Arial"/>
          <w:sz w:val="24"/>
          <w:szCs w:val="24"/>
        </w:rPr>
        <w:t xml:space="preserve">Dr. Juhász Endre (2002): ÚTMUTATÓ - A TELEPÜLÉSI SZENNYVÍZISZAP TELEPI ELŐKEZELÉSÉHEZ. </w:t>
      </w:r>
    </w:p>
    <w:p w:rsidR="007445CC" w:rsidRPr="007445CC" w:rsidRDefault="007445CC" w:rsidP="007445CC">
      <w:pPr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7445CC">
        <w:rPr>
          <w:rFonts w:ascii="Arial Narrow" w:hAnsi="Arial Narrow" w:cs="Arial"/>
          <w:sz w:val="24"/>
          <w:szCs w:val="24"/>
          <w:lang w:val="en-US"/>
        </w:rPr>
        <w:t xml:space="preserve">Dr. </w:t>
      </w:r>
      <w:proofErr w:type="spellStart"/>
      <w:r w:rsidRPr="007445CC">
        <w:rPr>
          <w:rFonts w:ascii="Arial Narrow" w:hAnsi="Arial Narrow" w:cs="Arial"/>
          <w:sz w:val="24"/>
          <w:szCs w:val="24"/>
          <w:lang w:val="en-US"/>
        </w:rPr>
        <w:t>Kurdi</w:t>
      </w:r>
      <w:proofErr w:type="spellEnd"/>
      <w:r w:rsidRPr="007445CC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7445CC">
        <w:rPr>
          <w:rFonts w:ascii="Arial Narrow" w:hAnsi="Arial Narrow" w:cs="Arial"/>
          <w:sz w:val="24"/>
          <w:szCs w:val="24"/>
          <w:lang w:val="en-US"/>
        </w:rPr>
        <w:t>Róbert</w:t>
      </w:r>
      <w:proofErr w:type="spellEnd"/>
      <w:r w:rsidRPr="007445CC"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7445CC">
        <w:rPr>
          <w:rFonts w:ascii="Arial Narrow" w:hAnsi="Arial Narrow" w:cs="Arial"/>
          <w:sz w:val="24"/>
          <w:szCs w:val="24"/>
        </w:rPr>
        <w:t>(</w:t>
      </w:r>
      <w:proofErr w:type="spellStart"/>
      <w:r w:rsidRPr="007445CC">
        <w:rPr>
          <w:rFonts w:ascii="Arial Narrow" w:hAnsi="Arial Narrow" w:cs="Arial"/>
          <w:sz w:val="24"/>
          <w:szCs w:val="24"/>
        </w:rPr>
        <w:t>szerk</w:t>
      </w:r>
      <w:proofErr w:type="spellEnd"/>
      <w:r w:rsidRPr="007445CC">
        <w:rPr>
          <w:rFonts w:ascii="Arial Narrow" w:hAnsi="Arial Narrow" w:cs="Arial"/>
          <w:sz w:val="24"/>
          <w:szCs w:val="24"/>
        </w:rPr>
        <w:t xml:space="preserve">): Hulladékgazdálkodás II. 8-10 fejezetek. Környezetmérnöki Tudástár </w:t>
      </w:r>
      <w:hyperlink r:id="rId6" w:history="1">
        <w:r w:rsidRPr="007445CC">
          <w:rPr>
            <w:rStyle w:val="Hiperhivatkozs"/>
            <w:rFonts w:ascii="Arial Narrow" w:hAnsi="Arial Narrow" w:cs="Arial"/>
            <w:sz w:val="24"/>
            <w:szCs w:val="24"/>
          </w:rPr>
          <w:t>http://mkweb.uni-pannon.hu/tudastar/anyagok/19-Hulladekgazdalkodas_II.pdf</w:t>
        </w:r>
      </w:hyperlink>
    </w:p>
    <w:p w:rsidR="007445CC" w:rsidRPr="007445CC" w:rsidRDefault="007445CC" w:rsidP="007445CC">
      <w:pPr>
        <w:numPr>
          <w:ilvl w:val="1"/>
          <w:numId w:val="2"/>
        </w:num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7445CC">
        <w:rPr>
          <w:rFonts w:ascii="Arial Narrow" w:hAnsi="Arial Narrow" w:cs="Arial"/>
          <w:sz w:val="24"/>
          <w:szCs w:val="24"/>
        </w:rPr>
        <w:t>Dr. Domokos Endre (</w:t>
      </w:r>
      <w:proofErr w:type="spellStart"/>
      <w:r w:rsidRPr="007445CC">
        <w:rPr>
          <w:rFonts w:ascii="Arial Narrow" w:hAnsi="Arial Narrow" w:cs="Arial"/>
          <w:sz w:val="24"/>
          <w:szCs w:val="24"/>
        </w:rPr>
        <w:t>szerk</w:t>
      </w:r>
      <w:proofErr w:type="spellEnd"/>
      <w:r w:rsidRPr="007445CC">
        <w:rPr>
          <w:rFonts w:ascii="Arial Narrow" w:hAnsi="Arial Narrow" w:cs="Arial"/>
          <w:sz w:val="24"/>
          <w:szCs w:val="24"/>
        </w:rPr>
        <w:t xml:space="preserve">): </w:t>
      </w:r>
      <w:proofErr w:type="spellStart"/>
      <w:r w:rsidRPr="007445CC">
        <w:rPr>
          <w:rFonts w:ascii="Arial Narrow" w:hAnsi="Arial Narrow" w:cs="Arial"/>
          <w:b/>
          <w:bCs/>
          <w:sz w:val="24"/>
          <w:szCs w:val="24"/>
          <w:lang w:val="en-US"/>
        </w:rPr>
        <w:t>Környezetvédelmi</w:t>
      </w:r>
      <w:proofErr w:type="spellEnd"/>
      <w:r w:rsidRPr="007445CC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7445CC">
        <w:rPr>
          <w:rFonts w:ascii="Arial Narrow" w:hAnsi="Arial Narrow" w:cs="Arial"/>
          <w:b/>
          <w:bCs/>
          <w:sz w:val="24"/>
          <w:szCs w:val="24"/>
          <w:lang w:val="en-US"/>
        </w:rPr>
        <w:t>energetika</w:t>
      </w:r>
      <w:proofErr w:type="spellEnd"/>
      <w:r w:rsidRPr="007445CC">
        <w:rPr>
          <w:rFonts w:ascii="Arial Narrow" w:hAnsi="Arial Narrow" w:cs="Arial"/>
          <w:b/>
          <w:bCs/>
          <w:sz w:val="24"/>
          <w:szCs w:val="24"/>
          <w:lang w:val="en-US"/>
        </w:rPr>
        <w:t xml:space="preserve"> </w:t>
      </w:r>
      <w:r w:rsidRPr="007445CC">
        <w:rPr>
          <w:rFonts w:ascii="Arial Narrow" w:hAnsi="Arial Narrow" w:cs="Arial"/>
          <w:sz w:val="24"/>
          <w:szCs w:val="24"/>
        </w:rPr>
        <w:t xml:space="preserve">22.1.6. fejezete Környezetmérnöki Tudástár </w:t>
      </w:r>
      <w:hyperlink r:id="rId7" w:history="1">
        <w:r w:rsidRPr="007445CC">
          <w:rPr>
            <w:rStyle w:val="Hiperhivatkozs"/>
            <w:rFonts w:ascii="Arial Narrow" w:hAnsi="Arial Narrow" w:cs="Arial"/>
            <w:sz w:val="24"/>
            <w:szCs w:val="24"/>
          </w:rPr>
          <w:t>http://mkweb.uni-pannon.hu/tudastar/anyagok/21-Kornyezetvedelmi_energetika_v2.pdf</w:t>
        </w:r>
      </w:hyperlink>
      <w:r w:rsidRPr="007445CC">
        <w:rPr>
          <w:rFonts w:ascii="Arial Narrow" w:hAnsi="Arial Narrow" w:cs="Arial"/>
          <w:sz w:val="24"/>
          <w:szCs w:val="24"/>
        </w:rPr>
        <w:t xml:space="preserve"> </w:t>
      </w:r>
    </w:p>
    <w:p w:rsidR="007445CC" w:rsidRPr="007445CC" w:rsidRDefault="007445CC" w:rsidP="007445CC">
      <w:pPr>
        <w:rPr>
          <w:rFonts w:ascii="Arial Narrow" w:hAnsi="Arial Narrow" w:cs="Arial"/>
          <w:sz w:val="24"/>
          <w:szCs w:val="24"/>
        </w:rPr>
      </w:pPr>
    </w:p>
    <w:p w:rsidR="007445CC" w:rsidRPr="007445CC" w:rsidRDefault="007445CC" w:rsidP="007445CC">
      <w:pPr>
        <w:rPr>
          <w:sz w:val="24"/>
          <w:szCs w:val="24"/>
        </w:rPr>
      </w:pPr>
      <w:r w:rsidRPr="007445CC">
        <w:rPr>
          <w:rFonts w:ascii="Arial Narrow" w:hAnsi="Arial Narrow" w:cs="Arial"/>
          <w:sz w:val="24"/>
          <w:szCs w:val="24"/>
        </w:rPr>
        <w:t>Ajánlott irodalom:</w:t>
      </w:r>
    </w:p>
    <w:p w:rsidR="003F6AD1" w:rsidRPr="007445CC" w:rsidRDefault="007445CC" w:rsidP="007445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445CC">
        <w:rPr>
          <w:rFonts w:ascii="Arial Narrow" w:hAnsi="Arial Narrow" w:cs="Arial"/>
          <w:sz w:val="24"/>
          <w:szCs w:val="24"/>
        </w:rPr>
        <w:lastRenderedPageBreak/>
        <w:t>A kiadásra kerülő előadás anyagok végén található a témakörhöz kapcsolódó ajánlott szakirodalom.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Követelmények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a szorgalmi időszakban:</w:t>
      </w:r>
    </w:p>
    <w:p w:rsidR="007445CC" w:rsidRPr="007445CC" w:rsidRDefault="007445CC" w:rsidP="00744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1 db ZH teljesítése legalább elégséges érdemjeggyel. Az osztályzat kialakításának módja a ZH esetében: 51%-65%: elégséges (2), 66%-80%: közepes (3), 81%-90%: </w:t>
      </w:r>
      <w:proofErr w:type="gramStart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jó(</w:t>
      </w:r>
      <w:proofErr w:type="gramEnd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4), 91%-100%: jeles(5). A kiadott tervfeladat 15. hétig legalább elégséges szinten történő beadása. A félév során a hallgatóknak konzultációs lapot kell vezetniük. A félév teljesítés feltétele legalább 2 aláírás beszerzése a konzultációs </w:t>
      </w:r>
      <w:proofErr w:type="gramStart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lapon</w:t>
      </w:r>
      <w:proofErr w:type="gramEnd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félév során. 1 db sűrítő tervezési tervfeladat kerül kiadásra. A félév teljesítés feltétele a tervfeladat 15. héten legalább elégséges szinten történő beadása. Az órákon történő részvétel a TVSZ előírásai szerint. A foglalkozásról, vizsgáról történő távollét orvosi igazolással történhet.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Követelmények a vizsgaidőszakban:</w:t>
      </w:r>
    </w:p>
    <w:p w:rsidR="003F6AD1" w:rsidRPr="007445CC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Szóbeli vizsga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Pótlások:</w:t>
      </w:r>
    </w:p>
    <w:p w:rsidR="003F6AD1" w:rsidRPr="007445CC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TVSZ szerint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t:</w:t>
      </w:r>
    </w:p>
    <w:p w:rsidR="003F6AD1" w:rsidRPr="003F6AD1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Lásd az alábbi heti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besoztásban</w:t>
      </w:r>
      <w:proofErr w:type="spellEnd"/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izsga jelleg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(szóbeli, írásbeli, vagy mindkettő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):</w:t>
      </w:r>
    </w:p>
    <w:p w:rsidR="003F6AD1" w:rsidRPr="003F6AD1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Szóbeli, tételsor alapján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Érdemjegy kialakítása:</w:t>
      </w:r>
    </w:p>
    <w:p w:rsidR="003F6AD1" w:rsidRPr="003F6AD1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Félévi teljesítés 30%-ban beszámításra kerül a szóbeli vizsga teljesítményébe.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(előadás):</w:t>
      </w:r>
    </w:p>
    <w:p w:rsidR="007445CC" w:rsidRPr="007445CC" w:rsidRDefault="003F6AD1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1. hét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ismertetése, alapfogalmak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jellemzése, típusai, mennyisége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3.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sűrítése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kondicionálása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5.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szennyvíziszapok és </w:t>
      </w:r>
      <w:proofErr w:type="spellStart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bio-hulladékok</w:t>
      </w:r>
      <w:proofErr w:type="spellEnd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rothasztása és biogáz termelés I. 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6.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szennyvíziszapok és </w:t>
      </w:r>
      <w:proofErr w:type="spellStart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bio-hulladékok</w:t>
      </w:r>
      <w:proofErr w:type="spellEnd"/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rothasztása és biogáz termelés I.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7.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víztelenítése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8.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szünet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9.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komposztálása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10.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szárítása, égetése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11.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szikkasztó ágy és természet-közeli eljárások 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szennyvíziszapok mezőgazdasági kihelyezése, hasznosítása I.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13. hét:</w:t>
      </w:r>
      <w:r w:rsid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szennyvíziszapok szállítása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14. hét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ZH</w:t>
      </w:r>
    </w:p>
    <w:p w:rsidR="003F6AD1" w:rsidRDefault="00A5743A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hét </w:t>
      </w:r>
      <w:r w:rsidR="007445CC"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Félévi összefoglaló.</w:t>
      </w:r>
      <w:r w:rsidR="003F6AD1"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F6AD1" w:rsidRDefault="003F6AD1" w:rsidP="003F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AD1" w:rsidRDefault="003F6AD1" w:rsidP="003F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AD1" w:rsidRPr="003F6AD1" w:rsidRDefault="003F6AD1" w:rsidP="003F6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(gyakorlat):</w:t>
      </w:r>
    </w:p>
    <w:p w:rsidR="00A5743A" w:rsidRPr="00A5743A" w:rsidRDefault="003F6AD1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1. hét</w:t>
      </w:r>
      <w:r w:rsid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743A"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jogszabályi háttér ismertetése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 iszapok mennyiségi és minőségi alapszámításai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3.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kiadása.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pálcás iszapsűrítő méretezése és kialakítása I. 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5.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pálcás iszapsűrítő méretezése és kialakítása II. 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6.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rothasztó méretezése, biogáz hasznosítási számítások I. 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7.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rothasztó méretezése, biogáz hasznosítási számítások II. tervfeladat konzultáció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8.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szünet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9.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komposztáló méretezése, 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10.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11.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hét: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konzultáció.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konzultáció.</w:t>
      </w:r>
    </w:p>
    <w:p w:rsidR="003F6AD1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hét: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Tervfeladat beadása</w:t>
      </w:r>
    </w:p>
    <w:p w:rsidR="00A5743A" w:rsidRDefault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5743A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7153D"/>
    <w:multiLevelType w:val="hybridMultilevel"/>
    <w:tmpl w:val="FA761B90"/>
    <w:lvl w:ilvl="0" w:tplc="695C8E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035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76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490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A4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A4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EF7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B2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1"/>
    <w:rsid w:val="003F6AD1"/>
    <w:rsid w:val="00701951"/>
    <w:rsid w:val="007445CC"/>
    <w:rsid w:val="00761E46"/>
    <w:rsid w:val="00870F8C"/>
    <w:rsid w:val="00A5743A"/>
    <w:rsid w:val="00E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kweb.uni-pannon.hu/tudastar/anyagok/21-Kornyezetvedelmi_energetika_v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web.uni-pannon.hu/tudastar/anyagok/19-Hulladekgazdalkodas_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Enviro</cp:lastModifiedBy>
  <cp:revision>2</cp:revision>
  <dcterms:created xsi:type="dcterms:W3CDTF">2016-09-12T07:38:00Z</dcterms:created>
  <dcterms:modified xsi:type="dcterms:W3CDTF">2016-09-12T07:38:00Z</dcterms:modified>
</cp:coreProperties>
</file>