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3"/>
        <w:gridCol w:w="1975"/>
        <w:gridCol w:w="5146"/>
      </w:tblGrid>
      <w:tr w:rsidR="008E6149" w:rsidTr="00757A64">
        <w:trPr>
          <w:cantSplit/>
        </w:trPr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9C532E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rajz, form</w:t>
            </w:r>
            <w:r w:rsidR="00AF7BA3">
              <w:rPr>
                <w:color w:val="000000"/>
                <w:sz w:val="22"/>
              </w:rPr>
              <w:t>aismeret</w:t>
            </w:r>
            <w:r>
              <w:rPr>
                <w:color w:val="000000"/>
                <w:sz w:val="22"/>
              </w:rPr>
              <w:t xml:space="preserve"> 2.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9C532E" w:rsidRDefault="002D6D5A" w:rsidP="00355535">
            <w:pPr>
              <w:rPr>
                <w:rFonts w:ascii="Verdana" w:hAnsi="Verdana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</w:hyperlink>
            <w:r w:rsidR="00C80455" w:rsidRPr="009C532E">
              <w:rPr>
                <w:rFonts w:ascii="Verdana" w:hAnsi="Verdana"/>
                <w:sz w:val="17"/>
                <w:szCs w:val="17"/>
                <w:shd w:val="clear" w:color="auto" w:fill="FFFFFF"/>
              </w:rPr>
              <w:t>EPE346MNEM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355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(</w:t>
            </w:r>
            <w:r w:rsidR="00DF429E">
              <w:rPr>
                <w:color w:val="000000"/>
                <w:sz w:val="22"/>
              </w:rPr>
              <w:t>1 / 2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C80455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C351E7" w:rsidRPr="001732FE" w:rsidRDefault="00C80455">
            <w:pPr>
              <w:rPr>
                <w:i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Vizuális Ismeretek Tanszék</w:t>
            </w:r>
          </w:p>
        </w:tc>
      </w:tr>
      <w:tr w:rsidR="008E6149" w:rsidTr="00757A64">
        <w:tc>
          <w:tcPr>
            <w:tcW w:w="4068" w:type="dxa"/>
            <w:gridSpan w:val="2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 w:rsidTr="00757A64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C80455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Építészmérnök</w:t>
            </w:r>
            <w:r w:rsidR="00E2040A">
              <w:rPr>
                <w:b w:val="0"/>
                <w:color w:val="000000"/>
                <w:sz w:val="22"/>
              </w:rPr>
              <w:t xml:space="preserve"> osztatlan</w:t>
            </w:r>
            <w:r>
              <w:rPr>
                <w:b w:val="0"/>
                <w:color w:val="000000"/>
                <w:sz w:val="22"/>
              </w:rPr>
              <w:t xml:space="preserve">, Építészmérnök </w:t>
            </w:r>
            <w:proofErr w:type="spellStart"/>
            <w:r>
              <w:rPr>
                <w:b w:val="0"/>
                <w:color w:val="000000"/>
                <w:sz w:val="22"/>
              </w:rPr>
              <w:t>Bsc</w:t>
            </w:r>
            <w:proofErr w:type="spellEnd"/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446B2E" w:rsidP="00446B2E">
            <w:pPr>
              <w:rPr>
                <w:bCs/>
                <w:sz w:val="22"/>
              </w:rPr>
            </w:pPr>
            <w:r w:rsidRPr="00446B2E">
              <w:rPr>
                <w:bCs/>
                <w:sz w:val="22"/>
              </w:rPr>
              <w:t>A kurzus célja a rajzi eszközökben való jártasság elmélyítése, a szabadkézi vázlatkész</w:t>
            </w:r>
            <w:r>
              <w:rPr>
                <w:bCs/>
                <w:sz w:val="22"/>
              </w:rPr>
              <w:t>ítés technikájának begyakorlása</w:t>
            </w:r>
            <w:r w:rsidR="00AE62D5">
              <w:rPr>
                <w:bCs/>
                <w:sz w:val="22"/>
              </w:rPr>
              <w:t>, arányok és lépték helyes alkalmazásának elsajátítása.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AE62D5" w:rsidP="00AE62D5">
            <w:pPr>
              <w:pStyle w:val="Szvegtrzsbehzssal2"/>
              <w:ind w:left="0"/>
              <w:rPr>
                <w:b/>
                <w:sz w:val="22"/>
              </w:rPr>
            </w:pPr>
            <w:r>
              <w:t>A félév témája a harmónia, diszharmónia, az arányrend és lépték. Gyakorlati feladatokon keresztül a hallgatók</w:t>
            </w:r>
            <w:r w:rsidR="00446B2E" w:rsidRPr="00446B2E">
              <w:t xml:space="preserve"> a szabadkézi vázlatkészítés </w:t>
            </w:r>
            <w:r>
              <w:t>technikáit g</w:t>
            </w:r>
            <w:r w:rsidR="00F4785D">
              <w:t>yakorolják</w:t>
            </w:r>
            <w:r w:rsidR="00BA2B50">
              <w:t>. Elmélyítik</w:t>
            </w:r>
            <w:r w:rsidR="00F4785D">
              <w:t xml:space="preserve"> a </w:t>
            </w:r>
            <w:r w:rsidR="00446B2E" w:rsidRPr="00446B2E">
              <w:t xml:space="preserve">lavírozott tus, a </w:t>
            </w:r>
            <w:r w:rsidR="00F4785D">
              <w:t>tusrajz, az akvarell, a tempera használatának építészeti rajzban történő alkalmazását.</w:t>
            </w:r>
            <w:r w:rsidR="00F160CE">
              <w:t xml:space="preserve"> </w:t>
            </w:r>
          </w:p>
        </w:tc>
      </w:tr>
      <w:tr w:rsidR="008E6149" w:rsidTr="00757A64">
        <w:tc>
          <w:tcPr>
            <w:tcW w:w="9214" w:type="dxa"/>
            <w:gridSpan w:val="3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446B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446B2E">
              <w:rPr>
                <w:color w:val="000000"/>
                <w:sz w:val="22"/>
              </w:rPr>
              <w:t xml:space="preserve">Németh Pál </w:t>
            </w:r>
          </w:p>
          <w:p w:rsidR="00174F03" w:rsidRDefault="00174F03" w:rsidP="00446B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Dr. Németh Pál</w:t>
            </w:r>
            <w:r w:rsidR="00BA2B50">
              <w:rPr>
                <w:color w:val="000000"/>
                <w:sz w:val="22"/>
              </w:rPr>
              <w:t xml:space="preserve">, Dr. </w:t>
            </w:r>
            <w:proofErr w:type="spellStart"/>
            <w:r w:rsidR="00BA2B50">
              <w:rPr>
                <w:color w:val="000000"/>
                <w:sz w:val="22"/>
              </w:rPr>
              <w:t>Krámli</w:t>
            </w:r>
            <w:proofErr w:type="spellEnd"/>
            <w:r w:rsidR="00BA2B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 w:rsidTr="00757A64">
        <w:tc>
          <w:tcPr>
            <w:tcW w:w="2093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7121" w:type="dxa"/>
            <w:gridSpan w:val="2"/>
          </w:tcPr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 w:rsidR="0088124F">
              <w:rPr>
                <w:sz w:val="20"/>
              </w:rPr>
              <w:t>30%-ot, azaz</w:t>
            </w:r>
            <w:r w:rsidRPr="00BD4CFF">
              <w:rPr>
                <w:sz w:val="20"/>
              </w:rPr>
              <w:t xml:space="preserve"> </w:t>
            </w:r>
            <w:r w:rsidR="00BA2B50">
              <w:rPr>
                <w:sz w:val="20"/>
              </w:rPr>
              <w:t>3</w:t>
            </w:r>
            <w:r w:rsidRPr="00BD4CFF">
              <w:rPr>
                <w:sz w:val="20"/>
              </w:rPr>
              <w:t xml:space="preserve"> </w:t>
            </w:r>
            <w:r w:rsidR="0088124F">
              <w:rPr>
                <w:sz w:val="20"/>
              </w:rPr>
              <w:t>alkalmat</w:t>
            </w:r>
            <w:r w:rsidRPr="00BD4CFF">
              <w:rPr>
                <w:sz w:val="20"/>
              </w:rPr>
              <w:t xml:space="preserve">. 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757A64" w:rsidRPr="00BD4CFF" w:rsidRDefault="00757A64" w:rsidP="00757A64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757A64" w:rsidRPr="00BD4CFF" w:rsidRDefault="00757A64" w:rsidP="00757A64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8E6331" w:rsidRPr="00BD4CFF" w:rsidRDefault="008E6331" w:rsidP="00757A64">
            <w:pPr>
              <w:jc w:val="both"/>
              <w:rPr>
                <w:color w:val="000000"/>
                <w:sz w:val="20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74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74F2E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Barcsay Jenő (1966): Forma és tér. Corvina Kiadó, Budapest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Gombrich</w:t>
            </w:r>
            <w:proofErr w:type="spellEnd"/>
            <w:r w:rsidRPr="000536FE">
              <w:rPr>
                <w:color w:val="000000"/>
                <w:sz w:val="22"/>
              </w:rPr>
              <w:t>, E. (1972): Művészet és illúzió. Gondolat, Budapest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Panofsky</w:t>
            </w:r>
            <w:proofErr w:type="spellEnd"/>
            <w:r w:rsidRPr="000536FE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0536FE" w:rsidRPr="000536FE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Gondolat, Budapest</w:t>
            </w:r>
          </w:p>
          <w:p w:rsidR="008E6149" w:rsidRDefault="000536FE" w:rsidP="000536FE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 xml:space="preserve">Bodó Márton, Molnár Csaba, </w:t>
            </w:r>
            <w:proofErr w:type="spellStart"/>
            <w:r w:rsidRPr="000536FE">
              <w:rPr>
                <w:color w:val="000000"/>
                <w:sz w:val="22"/>
              </w:rPr>
              <w:t>Peity</w:t>
            </w:r>
            <w:proofErr w:type="spellEnd"/>
            <w:r w:rsidRPr="000536FE">
              <w:rPr>
                <w:color w:val="000000"/>
                <w:sz w:val="22"/>
              </w:rPr>
              <w:t xml:space="preserve"> Attila, Répás Ferenc (1999): Valóság, gondolat, rajz. Műszaki Könyvkiadó, </w:t>
            </w:r>
            <w:r w:rsidRPr="000536FE">
              <w:rPr>
                <w:color w:val="000000"/>
                <w:sz w:val="22"/>
              </w:rPr>
              <w:lastRenderedPageBreak/>
              <w:t>Budapest</w:t>
            </w:r>
          </w:p>
        </w:tc>
      </w:tr>
      <w:tr w:rsidR="008E6149">
        <w:tc>
          <w:tcPr>
            <w:tcW w:w="4068" w:type="dxa"/>
            <w:gridSpan w:val="2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F4785D" w:rsidP="0088124F">
            <w:pPr>
              <w:rPr>
                <w:sz w:val="22"/>
              </w:rPr>
            </w:pPr>
            <w:r>
              <w:rPr>
                <w:sz w:val="22"/>
              </w:rPr>
              <w:t>NEPTUN rendszeren</w:t>
            </w:r>
            <w:r w:rsidR="008E6149">
              <w:rPr>
                <w:sz w:val="22"/>
              </w:rPr>
              <w:t xml:space="preserve">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</w:t>
      </w:r>
      <w:r w:rsidR="007B1EE4">
        <w:rPr>
          <w:b/>
          <w:bCs/>
          <w:sz w:val="22"/>
          <w:u w:val="single"/>
        </w:rPr>
        <w:t>dások, magyarázatok formájában. E</w:t>
      </w:r>
      <w:r>
        <w:rPr>
          <w:b/>
          <w:bCs/>
          <w:sz w:val="22"/>
          <w:u w:val="single"/>
        </w:rPr>
        <w:t>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</w:p>
        </w:tc>
        <w:tc>
          <w:tcPr>
            <w:tcW w:w="3260" w:type="dxa"/>
          </w:tcPr>
          <w:p w:rsidR="008E6149" w:rsidRDefault="00B97FC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B35184" w:rsidP="00274F2E">
            <w:pPr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B35184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3260" w:type="dxa"/>
          </w:tcPr>
          <w:p w:rsidR="008E6149" w:rsidRDefault="00446B2E" w:rsidP="00274F2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látvány formai elemzésének módszerei, technikái.</w:t>
            </w:r>
          </w:p>
        </w:tc>
        <w:tc>
          <w:tcPr>
            <w:tcW w:w="3685" w:type="dxa"/>
          </w:tcPr>
          <w:p w:rsidR="008E6149" w:rsidRDefault="00446B2E">
            <w:pPr>
              <w:pStyle w:val="Default"/>
              <w:rPr>
                <w:sz w:val="22"/>
              </w:rPr>
            </w:pPr>
            <w:r w:rsidRPr="00446B2E">
              <w:rPr>
                <w:sz w:val="22"/>
              </w:rPr>
              <w:t>Kisméretű geometrikus tárgycsoport körbeforgatása perspektívában.</w:t>
            </w:r>
          </w:p>
        </w:tc>
      </w:tr>
      <w:tr w:rsidR="007723CA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723CA" w:rsidRDefault="007723CA" w:rsidP="00B35184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3260" w:type="dxa"/>
          </w:tcPr>
          <w:p w:rsidR="007723CA" w:rsidRDefault="007723CA" w:rsidP="003D693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7723CA" w:rsidRPr="00B97FC2" w:rsidRDefault="0016707F" w:rsidP="003D693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Látványutáni perspektíva rajzolása.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B35184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3260" w:type="dxa"/>
          </w:tcPr>
          <w:p w:rsidR="0016707F" w:rsidRDefault="0016707F" w:rsidP="006D68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skicc szerepe és stílusa, gesztusok és rögzült gesztusok megjelenése.</w:t>
            </w:r>
          </w:p>
        </w:tc>
        <w:tc>
          <w:tcPr>
            <w:tcW w:w="3685" w:type="dxa"/>
          </w:tcPr>
          <w:p w:rsidR="0016707F" w:rsidRPr="00B97FC2" w:rsidRDefault="0016707F" w:rsidP="006D683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Skicc rajzolása különböző technikákkal megadott téma alapján.</w:t>
            </w:r>
          </w:p>
        </w:tc>
      </w:tr>
      <w:tr w:rsidR="0016707F" w:rsidTr="00993D3C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16707F" w:rsidRDefault="0016707F" w:rsidP="00B35184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3260" w:type="dxa"/>
          </w:tcPr>
          <w:p w:rsidR="0016707F" w:rsidRDefault="0016707F" w:rsidP="00C93A3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 xml:space="preserve">A tervlap funkciója, megjelenése. A tervlapon alkalmazható technikák. </w:t>
            </w:r>
          </w:p>
        </w:tc>
        <w:tc>
          <w:tcPr>
            <w:tcW w:w="3685" w:type="dxa"/>
          </w:tcPr>
          <w:p w:rsidR="0016707F" w:rsidRPr="00C66BA0" w:rsidRDefault="0016707F" w:rsidP="00C93A3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t>Tervlap készítés saját épülettervről.</w:t>
            </w:r>
          </w:p>
        </w:tc>
      </w:tr>
      <w:tr w:rsidR="0016707F" w:rsidTr="005C04F5">
        <w:trPr>
          <w:cantSplit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16707F" w:rsidRDefault="0016707F" w:rsidP="00B35184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16707F" w:rsidRDefault="0016707F" w:rsidP="00C93A3E">
            <w:pPr>
              <w:autoSpaceDE w:val="0"/>
              <w:autoSpaceDN w:val="0"/>
              <w:adjustRightInd w:val="0"/>
            </w:pPr>
            <w:r>
              <w:rPr>
                <w:bCs/>
                <w:color w:val="FF0000"/>
                <w:sz w:val="22"/>
              </w:rPr>
              <w:t>Az első rajzi blokk rajzainak leadása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B35184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3260" w:type="dxa"/>
          </w:tcPr>
          <w:p w:rsidR="0016707F" w:rsidRPr="00B35184" w:rsidRDefault="0016707F" w:rsidP="0095542D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 w:rsidRPr="002B77C8">
              <w:rPr>
                <w:bCs/>
                <w:sz w:val="22"/>
              </w:rPr>
              <w:t>Harmónia és diszharmónia a formaalkotásban.</w:t>
            </w:r>
          </w:p>
        </w:tc>
        <w:tc>
          <w:tcPr>
            <w:tcW w:w="3685" w:type="dxa"/>
          </w:tcPr>
          <w:p w:rsidR="0016707F" w:rsidRDefault="0016707F" w:rsidP="0095542D">
            <w:pPr>
              <w:rPr>
                <w:sz w:val="22"/>
              </w:rPr>
            </w:pPr>
            <w:r>
              <w:t xml:space="preserve">Épített környezet kialakítása megadott szempontok alapján 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3260" w:type="dxa"/>
          </w:tcPr>
          <w:p w:rsidR="0016707F" w:rsidRPr="001B1B4B" w:rsidRDefault="0016707F" w:rsidP="007723C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Lépték és </w:t>
            </w:r>
            <w:r>
              <w:rPr>
                <w:sz w:val="22"/>
              </w:rPr>
              <w:t>kompozíció</w:t>
            </w:r>
            <w:r>
              <w:rPr>
                <w:sz w:val="22"/>
              </w:rPr>
              <w:t xml:space="preserve"> szerepe a formaalakításban.</w:t>
            </w:r>
          </w:p>
        </w:tc>
        <w:tc>
          <w:tcPr>
            <w:tcW w:w="3685" w:type="dxa"/>
          </w:tcPr>
          <w:p w:rsidR="0016707F" w:rsidRDefault="0016707F" w:rsidP="00D37B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Épített környezet átalakítása megadott szempontok alapján.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260" w:type="dxa"/>
          </w:tcPr>
          <w:p w:rsidR="0016707F" w:rsidRPr="00B35184" w:rsidRDefault="0016707F" w:rsidP="004B4550">
            <w:pPr>
              <w:autoSpaceDE w:val="0"/>
              <w:autoSpaceDN w:val="0"/>
              <w:adjustRightInd w:val="0"/>
              <w:rPr>
                <w:bCs/>
                <w:sz w:val="22"/>
                <w:highlight w:val="yellow"/>
              </w:rPr>
            </w:pPr>
            <w:r>
              <w:rPr>
                <w:sz w:val="22"/>
              </w:rPr>
              <w:t>R</w:t>
            </w:r>
            <w:r>
              <w:rPr>
                <w:sz w:val="22"/>
              </w:rPr>
              <w:t>itmus szerepe a formaalakításban.</w:t>
            </w:r>
          </w:p>
        </w:tc>
        <w:tc>
          <w:tcPr>
            <w:tcW w:w="3685" w:type="dxa"/>
          </w:tcPr>
          <w:p w:rsidR="0016707F" w:rsidRDefault="0016707F" w:rsidP="004B4550">
            <w:pPr>
              <w:rPr>
                <w:sz w:val="22"/>
              </w:rPr>
            </w:pPr>
            <w:r>
              <w:rPr>
                <w:iCs/>
                <w:sz w:val="22"/>
              </w:rPr>
              <w:t>Épített környezet átalakítása megadott szempontok alapján.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 xml:space="preserve">9. hét </w:t>
            </w:r>
          </w:p>
        </w:tc>
        <w:tc>
          <w:tcPr>
            <w:tcW w:w="3260" w:type="dxa"/>
          </w:tcPr>
          <w:p w:rsidR="0016707F" w:rsidRPr="001B1B4B" w:rsidRDefault="0016707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6707F" w:rsidRDefault="0016707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16707F" w:rsidRDefault="0016707F" w:rsidP="00103EB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6707F" w:rsidRDefault="0016707F" w:rsidP="00103EB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Látványtervek vegyes technikával</w:t>
            </w:r>
          </w:p>
        </w:tc>
      </w:tr>
      <w:tr w:rsidR="00312EE9" w:rsidTr="001B4CF9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312EE9" w:rsidRDefault="00312EE9" w:rsidP="00DD5F4B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  <w:p w:rsidR="00312EE9" w:rsidRDefault="00312EE9" w:rsidP="00DD5F4B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312EE9" w:rsidRDefault="00312EE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Lépték és funkció.</w:t>
            </w:r>
          </w:p>
        </w:tc>
        <w:tc>
          <w:tcPr>
            <w:tcW w:w="3685" w:type="dxa"/>
          </w:tcPr>
          <w:p w:rsidR="00312EE9" w:rsidRPr="002E1AE6" w:rsidRDefault="00312EE9" w:rsidP="00184B91">
            <w:r>
              <w:t>Látványutáni rajzolás léptékváltással</w:t>
            </w:r>
          </w:p>
        </w:tc>
      </w:tr>
      <w:tr w:rsidR="00312EE9" w:rsidTr="0033001A">
        <w:trPr>
          <w:cantSplit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312EE9" w:rsidRDefault="00312EE9" w:rsidP="00DD5F4B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312EE9" w:rsidRPr="00312EE9" w:rsidRDefault="00312EE9" w:rsidP="00184B91">
            <w:pPr>
              <w:rPr>
                <w:color w:val="FF0000"/>
              </w:rPr>
            </w:pPr>
            <w:r>
              <w:rPr>
                <w:color w:val="FF0000"/>
              </w:rPr>
              <w:t>A második rajzi blokk rajzainak leadása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 xml:space="preserve">12. hét </w:t>
            </w:r>
          </w:p>
          <w:p w:rsidR="0016707F" w:rsidRDefault="0016707F" w:rsidP="00DD5F4B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16707F" w:rsidRDefault="0016707F" w:rsidP="00653D7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Lépték és ritmus szerepe a belső terek kialakításánál.</w:t>
            </w:r>
          </w:p>
        </w:tc>
        <w:tc>
          <w:tcPr>
            <w:tcW w:w="3685" w:type="dxa"/>
          </w:tcPr>
          <w:p w:rsidR="0016707F" w:rsidRPr="002E1AE6" w:rsidRDefault="0016707F" w:rsidP="0006129D">
            <w:r>
              <w:rPr>
                <w:sz w:val="22"/>
              </w:rPr>
              <w:t>Kétszintes belső tér.</w:t>
            </w:r>
          </w:p>
        </w:tc>
      </w:tr>
      <w:tr w:rsidR="0016707F" w:rsidTr="00184B9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>13. hét.</w:t>
            </w:r>
          </w:p>
        </w:tc>
        <w:tc>
          <w:tcPr>
            <w:tcW w:w="3260" w:type="dxa"/>
          </w:tcPr>
          <w:p w:rsidR="0016707F" w:rsidRDefault="0016707F" w:rsidP="001F1482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Felületképzés és forma összhangja.</w:t>
            </w:r>
          </w:p>
        </w:tc>
        <w:tc>
          <w:tcPr>
            <w:tcW w:w="3685" w:type="dxa"/>
          </w:tcPr>
          <w:p w:rsidR="0016707F" w:rsidRPr="002E1AE6" w:rsidRDefault="0016707F" w:rsidP="001F1482">
            <w:r>
              <w:rPr>
                <w:sz w:val="22"/>
              </w:rPr>
              <w:t>Kétszintes belső tér átalakítása vizuális eszközökkel.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3260" w:type="dxa"/>
          </w:tcPr>
          <w:p w:rsidR="0016707F" w:rsidRDefault="0016707F" w:rsidP="0052718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Belső tér látványának megjelenítése; lehetőségek, módszerek.</w:t>
            </w:r>
          </w:p>
        </w:tc>
        <w:tc>
          <w:tcPr>
            <w:tcW w:w="3685" w:type="dxa"/>
          </w:tcPr>
          <w:p w:rsidR="0016707F" w:rsidRDefault="0016707F" w:rsidP="008441EF">
            <w:pPr>
              <w:rPr>
                <w:sz w:val="22"/>
              </w:rPr>
            </w:pPr>
            <w:r>
              <w:t>Látványterv készítés belső térről</w:t>
            </w:r>
          </w:p>
        </w:tc>
      </w:tr>
      <w:tr w:rsidR="0016707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707F" w:rsidRDefault="0016707F" w:rsidP="00DD5F4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16707F" w:rsidRDefault="0016707F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6707F" w:rsidRDefault="0016707F" w:rsidP="008441EF">
            <w:r>
              <w:rPr>
                <w:sz w:val="22"/>
              </w:rPr>
              <w:t>Belső tér berendezése megadott elemekkel.</w:t>
            </w:r>
          </w:p>
          <w:p w:rsidR="0016707F" w:rsidRPr="002E1AE6" w:rsidRDefault="0016707F" w:rsidP="009A122D"/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8441EF">
        <w:t>Németh Pál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536FE"/>
    <w:rsid w:val="000B0D24"/>
    <w:rsid w:val="001172E8"/>
    <w:rsid w:val="00136C3E"/>
    <w:rsid w:val="0016707F"/>
    <w:rsid w:val="001732FE"/>
    <w:rsid w:val="00174F03"/>
    <w:rsid w:val="00175E32"/>
    <w:rsid w:val="00184B91"/>
    <w:rsid w:val="001B1B4B"/>
    <w:rsid w:val="00274F2E"/>
    <w:rsid w:val="002B77C8"/>
    <w:rsid w:val="002D6D5A"/>
    <w:rsid w:val="00312EE9"/>
    <w:rsid w:val="00313936"/>
    <w:rsid w:val="00355535"/>
    <w:rsid w:val="003F3B5D"/>
    <w:rsid w:val="00446B2E"/>
    <w:rsid w:val="005115B7"/>
    <w:rsid w:val="005E3A53"/>
    <w:rsid w:val="00652588"/>
    <w:rsid w:val="006605C9"/>
    <w:rsid w:val="00664BD6"/>
    <w:rsid w:val="006754B1"/>
    <w:rsid w:val="006D3551"/>
    <w:rsid w:val="00757A64"/>
    <w:rsid w:val="007723CA"/>
    <w:rsid w:val="007B1EE4"/>
    <w:rsid w:val="007F5AA8"/>
    <w:rsid w:val="00815FFA"/>
    <w:rsid w:val="008441EF"/>
    <w:rsid w:val="00863782"/>
    <w:rsid w:val="0088124F"/>
    <w:rsid w:val="008E6149"/>
    <w:rsid w:val="008E6331"/>
    <w:rsid w:val="00905859"/>
    <w:rsid w:val="00964800"/>
    <w:rsid w:val="009C532E"/>
    <w:rsid w:val="00AB7E18"/>
    <w:rsid w:val="00AC337C"/>
    <w:rsid w:val="00AE62D5"/>
    <w:rsid w:val="00AF7BA3"/>
    <w:rsid w:val="00B35184"/>
    <w:rsid w:val="00B354F8"/>
    <w:rsid w:val="00B57952"/>
    <w:rsid w:val="00B6009B"/>
    <w:rsid w:val="00B71E8E"/>
    <w:rsid w:val="00B97FC2"/>
    <w:rsid w:val="00BA2B50"/>
    <w:rsid w:val="00BD1F1A"/>
    <w:rsid w:val="00BD4CFF"/>
    <w:rsid w:val="00C351E7"/>
    <w:rsid w:val="00C376D2"/>
    <w:rsid w:val="00C66BA0"/>
    <w:rsid w:val="00C80455"/>
    <w:rsid w:val="00C804CF"/>
    <w:rsid w:val="00D15C10"/>
    <w:rsid w:val="00DD5436"/>
    <w:rsid w:val="00DF429E"/>
    <w:rsid w:val="00E2040A"/>
    <w:rsid w:val="00E7231A"/>
    <w:rsid w:val="00F160CE"/>
    <w:rsid w:val="00F4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7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559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7</cp:revision>
  <cp:lastPrinted>2003-05-26T12:39:00Z</cp:lastPrinted>
  <dcterms:created xsi:type="dcterms:W3CDTF">2018-08-29T09:33:00Z</dcterms:created>
  <dcterms:modified xsi:type="dcterms:W3CDTF">2018-08-29T13:17:00Z</dcterms:modified>
</cp:coreProperties>
</file>