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E9" w:rsidRPr="00C74FDF" w:rsidRDefault="00A662E9" w:rsidP="00A662E9">
      <w:pPr>
        <w:suppressAutoHyphens/>
        <w:ind w:left="142"/>
        <w:jc w:val="both"/>
        <w:rPr>
          <w:b/>
          <w:sz w:val="22"/>
          <w:szCs w:val="22"/>
        </w:rPr>
      </w:pPr>
      <w:bookmarkStart w:id="0" w:name="_GoBack"/>
      <w:bookmarkEnd w:id="0"/>
      <w:r w:rsidRPr="00C74F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>2</w:t>
      </w:r>
      <w:r w:rsidRPr="00C74FD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T</w:t>
      </w:r>
      <w:r w:rsidRPr="00C74FDF">
        <w:rPr>
          <w:b/>
          <w:sz w:val="22"/>
          <w:szCs w:val="22"/>
        </w:rPr>
        <w:t xml:space="preserve">antárgyi programok, tantárgyleírások </w:t>
      </w:r>
    </w:p>
    <w:p w:rsidR="00A662E9" w:rsidRPr="00C74FDF" w:rsidRDefault="00A662E9" w:rsidP="00A662E9">
      <w:pPr>
        <w:suppressAutoHyphens/>
        <w:spacing w:after="60"/>
        <w:ind w:left="708"/>
        <w:jc w:val="both"/>
        <w:rPr>
          <w:i/>
          <w:sz w:val="21"/>
          <w:szCs w:val="21"/>
        </w:rPr>
      </w:pPr>
      <w:r w:rsidRPr="00C74FDF">
        <w:rPr>
          <w:i/>
          <w:sz w:val="21"/>
          <w:szCs w:val="21"/>
        </w:rPr>
        <w:t>(a tantervi táblázatban szereplő minden tanegységről)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</w:tblGrid>
      <w:tr w:rsidR="00A662E9" w:rsidRPr="00C2259B" w:rsidTr="001F3FFE"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Az </w:t>
            </w:r>
            <w:r w:rsidRPr="0000385F">
              <w:rPr>
                <w:b/>
                <w:sz w:val="22"/>
                <w:szCs w:val="22"/>
              </w:rPr>
              <w:t>ismeretkör</w:t>
            </w:r>
            <w:r w:rsidRPr="0000385F">
              <w:rPr>
                <w:sz w:val="22"/>
                <w:szCs w:val="22"/>
              </w:rPr>
              <w:t xml:space="preserve">: </w:t>
            </w:r>
            <w:r w:rsidR="00280458">
              <w:rPr>
                <w:b/>
                <w:sz w:val="22"/>
                <w:szCs w:val="22"/>
              </w:rPr>
              <w:t>Örökségvédelem</w:t>
            </w:r>
          </w:p>
          <w:p w:rsidR="00A662E9" w:rsidRPr="00C2259B" w:rsidRDefault="00A662E9" w:rsidP="001F3FFE">
            <w:pPr>
              <w:suppressAutoHyphens/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Kredittartománya</w:t>
            </w:r>
            <w:r w:rsidRPr="00C2259B"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BB2D7E">
              <w:rPr>
                <w:i/>
                <w:sz w:val="22"/>
                <w:szCs w:val="22"/>
              </w:rPr>
              <w:t>(</w:t>
            </w:r>
            <w:proofErr w:type="spellStart"/>
            <w:r w:rsidRPr="00BB2D7E">
              <w:rPr>
                <w:i/>
                <w:sz w:val="22"/>
                <w:szCs w:val="22"/>
              </w:rPr>
              <w:t>max</w:t>
            </w:r>
            <w:proofErr w:type="spellEnd"/>
            <w:r w:rsidRPr="00BB2D7E">
              <w:rPr>
                <w:i/>
                <w:sz w:val="22"/>
                <w:szCs w:val="22"/>
              </w:rPr>
              <w:t xml:space="preserve">. 12 </w:t>
            </w:r>
            <w:proofErr w:type="spellStart"/>
            <w:r w:rsidRPr="00BB2D7E">
              <w:rPr>
                <w:i/>
                <w:sz w:val="22"/>
                <w:szCs w:val="22"/>
              </w:rPr>
              <w:t>kr.</w:t>
            </w:r>
            <w:proofErr w:type="spellEnd"/>
            <w:r w:rsidRPr="00BB2D7E">
              <w:rPr>
                <w:i/>
                <w:sz w:val="22"/>
                <w:szCs w:val="22"/>
              </w:rPr>
              <w:t>):</w:t>
            </w:r>
            <w:r w:rsidRPr="00C2259B">
              <w:rPr>
                <w:i/>
                <w:color w:val="333399"/>
                <w:sz w:val="22"/>
                <w:szCs w:val="22"/>
              </w:rPr>
              <w:t xml:space="preserve"> </w:t>
            </w:r>
            <w:r w:rsidR="00280458" w:rsidRPr="00280458">
              <w:rPr>
                <w:b/>
                <w:sz w:val="22"/>
                <w:szCs w:val="22"/>
              </w:rPr>
              <w:t>8</w:t>
            </w:r>
          </w:p>
          <w:p w:rsidR="00280458" w:rsidRDefault="00A662E9" w:rsidP="00280458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Tantárgyai: 1)</w:t>
            </w:r>
            <w:r w:rsidR="00280458">
              <w:rPr>
                <w:sz w:val="22"/>
                <w:szCs w:val="22"/>
              </w:rPr>
              <w:t xml:space="preserve"> </w:t>
            </w:r>
            <w:r w:rsidR="00280458">
              <w:rPr>
                <w:b/>
                <w:sz w:val="22"/>
                <w:szCs w:val="22"/>
              </w:rPr>
              <w:t>Építészeti elmélet – Integrált örökségvédelem,</w:t>
            </w:r>
          </w:p>
          <w:p w:rsidR="00A662E9" w:rsidRPr="00280458" w:rsidRDefault="00A662E9" w:rsidP="00280458">
            <w:pPr>
              <w:suppressAutoHyphens/>
              <w:spacing w:before="60"/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2)</w:t>
            </w:r>
            <w:r w:rsidR="00280458">
              <w:rPr>
                <w:b/>
                <w:sz w:val="22"/>
                <w:szCs w:val="22"/>
              </w:rPr>
              <w:t xml:space="preserve"> Örökségvédelem - Kutatásmódszertan</w:t>
            </w:r>
            <w:r w:rsidRPr="0000385F">
              <w:rPr>
                <w:b/>
                <w:i/>
                <w:sz w:val="22"/>
                <w:szCs w:val="22"/>
              </w:rPr>
              <w:t>,</w:t>
            </w:r>
          </w:p>
        </w:tc>
      </w:tr>
    </w:tbl>
    <w:p w:rsidR="00A662E9" w:rsidRPr="001B4821" w:rsidRDefault="00A662E9" w:rsidP="00A662E9">
      <w:pPr>
        <w:suppressAutoHyphens/>
        <w:rPr>
          <w:color w:val="333399"/>
          <w:sz w:val="12"/>
          <w:szCs w:val="1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662E9" w:rsidRPr="00BE16DC" w:rsidTr="001F3FFE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280458">
              <w:rPr>
                <w:b/>
                <w:sz w:val="22"/>
                <w:szCs w:val="22"/>
              </w:rPr>
              <w:t>Integrált örökségvédelem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280458">
              <w:rPr>
                <w:b/>
                <w:sz w:val="22"/>
                <w:szCs w:val="22"/>
              </w:rPr>
              <w:t>4</w:t>
            </w:r>
          </w:p>
        </w:tc>
      </w:tr>
      <w:tr w:rsidR="00A662E9" w:rsidRPr="00BE16DC" w:rsidTr="001F3F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Pr="00280458">
              <w:rPr>
                <w:b/>
                <w:sz w:val="22"/>
                <w:szCs w:val="22"/>
              </w:rPr>
              <w:t xml:space="preserve">kötelező </w:t>
            </w:r>
          </w:p>
        </w:tc>
      </w:tr>
      <w:tr w:rsidR="00A662E9" w:rsidRPr="00E73D28" w:rsidTr="001F3F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D3F9B">
              <w:rPr>
                <w:b/>
                <w:sz w:val="22"/>
                <w:szCs w:val="22"/>
              </w:rPr>
              <w:t>:</w:t>
            </w:r>
            <w:r w:rsidR="00BD3F9B">
              <w:rPr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A662E9" w:rsidRPr="00BE16DC" w:rsidTr="001F3FFE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Pr="00280458">
              <w:rPr>
                <w:b/>
                <w:sz w:val="22"/>
                <w:szCs w:val="22"/>
              </w:rPr>
              <w:t>e</w:t>
            </w:r>
            <w:r w:rsidR="008A2335">
              <w:rPr>
                <w:b/>
                <w:sz w:val="22"/>
                <w:szCs w:val="22"/>
              </w:rPr>
              <w:t>lőadás</w:t>
            </w:r>
            <w:r w:rsidR="00280458">
              <w:rPr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280458">
              <w:rPr>
                <w:b/>
                <w:sz w:val="22"/>
                <w:szCs w:val="22"/>
              </w:rPr>
              <w:t>2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A662E9" w:rsidRPr="0000385F" w:rsidRDefault="00A662E9" w:rsidP="001F3F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280458" w:rsidRPr="00280458">
              <w:rPr>
                <w:b/>
                <w:sz w:val="22"/>
                <w:szCs w:val="22"/>
              </w:rPr>
              <w:t>angol</w:t>
            </w:r>
          </w:p>
          <w:p w:rsidR="00A662E9" w:rsidRPr="0000385F" w:rsidRDefault="00A662E9" w:rsidP="001F3FFE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280458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280458">
              <w:rPr>
                <w:b/>
                <w:sz w:val="22"/>
                <w:szCs w:val="22"/>
              </w:rPr>
              <w:t>:</w:t>
            </w:r>
          </w:p>
        </w:tc>
      </w:tr>
      <w:tr w:rsidR="00A662E9" w:rsidRPr="00BE16DC" w:rsidTr="001F3FFE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00385F" w:rsidRDefault="00A662E9" w:rsidP="001F3F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>módja (</w:t>
            </w:r>
            <w:proofErr w:type="spellStart"/>
            <w:r w:rsidRPr="0000385F">
              <w:rPr>
                <w:sz w:val="22"/>
                <w:szCs w:val="22"/>
              </w:rPr>
              <w:t>koll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proofErr w:type="spellStart"/>
            <w:r w:rsidRPr="0000385F">
              <w:rPr>
                <w:sz w:val="22"/>
                <w:szCs w:val="22"/>
              </w:rPr>
              <w:t>gyj</w:t>
            </w:r>
            <w:proofErr w:type="spellEnd"/>
            <w:r w:rsidRPr="0000385F">
              <w:rPr>
                <w:sz w:val="22"/>
                <w:szCs w:val="22"/>
              </w:rPr>
              <w:t xml:space="preserve">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proofErr w:type="spellStart"/>
            <w:r w:rsidR="00280458" w:rsidRPr="00280458">
              <w:rPr>
                <w:b/>
                <w:sz w:val="22"/>
                <w:szCs w:val="22"/>
              </w:rPr>
              <w:t>koll</w:t>
            </w:r>
            <w:proofErr w:type="spellEnd"/>
          </w:p>
          <w:p w:rsidR="00A662E9" w:rsidRPr="00C2259B" w:rsidRDefault="00A662E9" w:rsidP="001F3FFE">
            <w:pPr>
              <w:suppressAutoHyphens/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="00280458">
              <w:rPr>
                <w:b/>
                <w:sz w:val="22"/>
                <w:szCs w:val="22"/>
              </w:rPr>
              <w:t>:</w:t>
            </w:r>
          </w:p>
        </w:tc>
      </w:tr>
      <w:tr w:rsidR="00A662E9" w:rsidRPr="00BE16DC" w:rsidTr="001F3F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280458">
              <w:rPr>
                <w:b/>
                <w:sz w:val="22"/>
                <w:szCs w:val="22"/>
              </w:rPr>
              <w:t>4</w:t>
            </w:r>
          </w:p>
        </w:tc>
      </w:tr>
      <w:tr w:rsidR="00A662E9" w:rsidRPr="00BE16DC" w:rsidTr="001F3FFE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280458">
              <w:rPr>
                <w:sz w:val="22"/>
                <w:szCs w:val="22"/>
              </w:rPr>
              <w:t>-</w:t>
            </w:r>
          </w:p>
        </w:tc>
      </w:tr>
    </w:tbl>
    <w:p w:rsidR="00A662E9" w:rsidRPr="00C2259B" w:rsidRDefault="00A662E9" w:rsidP="00A662E9">
      <w:pPr>
        <w:suppressAutoHyphens/>
        <w:rPr>
          <w:sz w:val="2"/>
          <w:szCs w:val="2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A662E9" w:rsidRPr="00BE16DC" w:rsidTr="00244DB5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>Tantárgy-leírás</w:t>
            </w:r>
            <w:r w:rsidRPr="00BE16DC">
              <w:rPr>
                <w:sz w:val="22"/>
                <w:szCs w:val="22"/>
              </w:rPr>
              <w:t xml:space="preserve">: az </w:t>
            </w:r>
            <w:r w:rsidRPr="0000385F">
              <w:rPr>
                <w:sz w:val="22"/>
                <w:szCs w:val="22"/>
              </w:rPr>
              <w:t xml:space="preserve">elsajátítandó </w:t>
            </w:r>
            <w:r w:rsidRPr="00F82273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A662E9" w:rsidRPr="00BE16DC" w:rsidTr="00244DB5">
        <w:trPr>
          <w:trHeight w:val="280"/>
        </w:trPr>
        <w:tc>
          <w:tcPr>
            <w:tcW w:w="9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244DB5" w:rsidRDefault="006E2B94" w:rsidP="00E36E7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E36E7F">
              <w:rPr>
                <w:i/>
                <w:sz w:val="22"/>
                <w:szCs w:val="22"/>
              </w:rPr>
              <w:t>Integrált örökségvédelem</w:t>
            </w:r>
            <w:r>
              <w:rPr>
                <w:sz w:val="22"/>
                <w:szCs w:val="22"/>
              </w:rPr>
              <w:t xml:space="preserve"> alapvetően teoretikus tantárgy</w:t>
            </w:r>
            <w:r w:rsidR="00E36E7F">
              <w:rPr>
                <w:sz w:val="22"/>
                <w:szCs w:val="22"/>
              </w:rPr>
              <w:t xml:space="preserve">, amely </w:t>
            </w:r>
            <w:r>
              <w:rPr>
                <w:sz w:val="22"/>
                <w:szCs w:val="22"/>
              </w:rPr>
              <w:t>megismerteti a hallgatókat</w:t>
            </w:r>
            <w:r w:rsidR="00E36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az örökségvédelem alapvető kortárs problémáival és tendenciáival</w:t>
            </w:r>
            <w:r w:rsidR="00E36E7F">
              <w:rPr>
                <w:sz w:val="22"/>
                <w:szCs w:val="22"/>
              </w:rPr>
              <w:t>. A</w:t>
            </w:r>
            <w:r>
              <w:rPr>
                <w:sz w:val="22"/>
                <w:szCs w:val="22"/>
              </w:rPr>
              <w:t>z</w:t>
            </w:r>
            <w:r w:rsidR="00E36E7F">
              <w:rPr>
                <w:sz w:val="22"/>
                <w:szCs w:val="22"/>
              </w:rPr>
              <w:t xml:space="preserve"> elméleti alapok mellett esettanulmányokon és</w:t>
            </w:r>
            <w:r>
              <w:rPr>
                <w:sz w:val="22"/>
                <w:szCs w:val="22"/>
              </w:rPr>
              <w:t xml:space="preserve"> interaktív</w:t>
            </w:r>
            <w:r w:rsidR="00E36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tantárgymeneten</w:t>
            </w:r>
            <w:r w:rsidR="00E36E7F">
              <w:rPr>
                <w:sz w:val="22"/>
                <w:szCs w:val="22"/>
              </w:rPr>
              <w:t xml:space="preserve"> keresztül </w:t>
            </w:r>
            <w:r w:rsidR="00244DB5">
              <w:rPr>
                <w:sz w:val="22"/>
                <w:szCs w:val="22"/>
              </w:rPr>
              <w:t>a hallgatók</w:t>
            </w:r>
            <w:r w:rsidR="00E36E7F">
              <w:rPr>
                <w:sz w:val="22"/>
                <w:szCs w:val="22"/>
              </w:rPr>
              <w:t xml:space="preserve"> megismerik az örökségvédelem gyakorlati oldalát, megtanulják az örökségvédelmet tágabb kulturális, interdiszciplináris kontextusban értelmezni</w:t>
            </w:r>
            <w:r w:rsidR="00E17DAE">
              <w:rPr>
                <w:sz w:val="22"/>
                <w:szCs w:val="22"/>
              </w:rPr>
              <w:t xml:space="preserve">. A tantárgyat alkalmanként más tudományterületről érkezett (régész, </w:t>
            </w:r>
            <w:proofErr w:type="gramStart"/>
            <w:r w:rsidR="00E17DAE">
              <w:rPr>
                <w:sz w:val="22"/>
                <w:szCs w:val="22"/>
              </w:rPr>
              <w:t>művészettörténész,</w:t>
            </w:r>
            <w:proofErr w:type="gramEnd"/>
            <w:r w:rsidR="00E17DAE">
              <w:rPr>
                <w:sz w:val="22"/>
                <w:szCs w:val="22"/>
              </w:rPr>
              <w:t xml:space="preserve"> stb.) vendégelőadók előadásai is színesítik.</w:t>
            </w:r>
          </w:p>
          <w:p w:rsidR="00E17DAE" w:rsidRDefault="00E17DAE" w:rsidP="00E36E7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</w:p>
          <w:p w:rsidR="00E17DAE" w:rsidRDefault="00E17DAE" w:rsidP="00E36E7F">
            <w:pPr>
              <w:suppressAutoHyphens/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proofErr w:type="spellStart"/>
            <w:r w:rsidRPr="00E17DAE">
              <w:rPr>
                <w:i/>
                <w:sz w:val="22"/>
                <w:szCs w:val="22"/>
              </w:rPr>
              <w:t>Integrated</w:t>
            </w:r>
            <w:proofErr w:type="spellEnd"/>
            <w:r w:rsidRPr="00E17DAE">
              <w:rPr>
                <w:i/>
                <w:sz w:val="22"/>
                <w:szCs w:val="22"/>
              </w:rPr>
              <w:t xml:space="preserve"> Heritage </w:t>
            </w:r>
            <w:proofErr w:type="spellStart"/>
            <w:r w:rsidRPr="00E17DAE">
              <w:rPr>
                <w:i/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 is </w:t>
            </w:r>
            <w:proofErr w:type="spellStart"/>
            <w:r>
              <w:rPr>
                <w:sz w:val="22"/>
                <w:szCs w:val="22"/>
              </w:rPr>
              <w:t>basicly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theoretic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subject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familiarize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contemporary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problems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tendencies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heritage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Beside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theoretic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basis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the </w:t>
            </w:r>
            <w:proofErr w:type="spellStart"/>
            <w:r>
              <w:rPr>
                <w:sz w:val="22"/>
                <w:szCs w:val="22"/>
              </w:rPr>
              <w:t>practical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side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heritage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protection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through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studies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interctive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 w:rsidR="009E43CA">
              <w:rPr>
                <w:sz w:val="22"/>
                <w:szCs w:val="22"/>
              </w:rPr>
              <w:t xml:space="preserve">. </w:t>
            </w:r>
            <w:proofErr w:type="spellStart"/>
            <w:r w:rsidR="009E43CA">
              <w:rPr>
                <w:sz w:val="22"/>
                <w:szCs w:val="22"/>
              </w:rPr>
              <w:t>They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also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learn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to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interpret</w:t>
            </w:r>
            <w:proofErr w:type="spellEnd"/>
            <w:r w:rsidR="009E43CA">
              <w:rPr>
                <w:sz w:val="22"/>
                <w:szCs w:val="22"/>
              </w:rPr>
              <w:t xml:space="preserve"> in a </w:t>
            </w:r>
            <w:proofErr w:type="spellStart"/>
            <w:r w:rsidR="009E43CA">
              <w:rPr>
                <w:sz w:val="22"/>
                <w:szCs w:val="22"/>
              </w:rPr>
              <w:t>wider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cultural</w:t>
            </w:r>
            <w:proofErr w:type="spellEnd"/>
            <w:r w:rsidR="009E43CA">
              <w:rPr>
                <w:sz w:val="22"/>
                <w:szCs w:val="22"/>
              </w:rPr>
              <w:t xml:space="preserve">, </w:t>
            </w:r>
            <w:proofErr w:type="spellStart"/>
            <w:r w:rsidR="009E43CA">
              <w:rPr>
                <w:sz w:val="22"/>
                <w:szCs w:val="22"/>
              </w:rPr>
              <w:t>interdisciplinary</w:t>
            </w:r>
            <w:proofErr w:type="spellEnd"/>
            <w:r w:rsidR="009E43CA">
              <w:rPr>
                <w:sz w:val="22"/>
                <w:szCs w:val="22"/>
              </w:rPr>
              <w:t xml:space="preserve"> context. </w:t>
            </w:r>
            <w:proofErr w:type="spellStart"/>
            <w:r w:rsidR="009E43CA">
              <w:rPr>
                <w:sz w:val="22"/>
                <w:szCs w:val="22"/>
              </w:rPr>
              <w:t>O</w:t>
            </w:r>
            <w:r w:rsidR="009E43CA" w:rsidRPr="009E43CA">
              <w:rPr>
                <w:sz w:val="22"/>
                <w:szCs w:val="22"/>
              </w:rPr>
              <w:t>ccasionally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, </w:t>
            </w:r>
            <w:proofErr w:type="spellStart"/>
            <w:r w:rsidR="009E43CA" w:rsidRPr="009E43CA">
              <w:rPr>
                <w:sz w:val="22"/>
                <w:szCs w:val="22"/>
              </w:rPr>
              <w:t>lectures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are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given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by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</w:t>
            </w:r>
            <w:proofErr w:type="spellStart"/>
            <w:r w:rsidR="009E43CA" w:rsidRPr="009E43CA">
              <w:rPr>
                <w:sz w:val="22"/>
                <w:szCs w:val="22"/>
              </w:rPr>
              <w:t>lecturers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</w:t>
            </w:r>
            <w:proofErr w:type="spellStart"/>
            <w:r w:rsidR="009E43CA" w:rsidRPr="009E43CA">
              <w:rPr>
                <w:sz w:val="22"/>
                <w:szCs w:val="22"/>
              </w:rPr>
              <w:t>from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</w:t>
            </w:r>
            <w:proofErr w:type="spellStart"/>
            <w:r w:rsidR="009E43CA" w:rsidRPr="009E43CA">
              <w:rPr>
                <w:sz w:val="22"/>
                <w:szCs w:val="22"/>
              </w:rPr>
              <w:t>other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</w:t>
            </w:r>
            <w:proofErr w:type="spellStart"/>
            <w:r w:rsidR="009E43CA" w:rsidRPr="009E43CA">
              <w:rPr>
                <w:sz w:val="22"/>
                <w:szCs w:val="22"/>
              </w:rPr>
              <w:t>disciplines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 (</w:t>
            </w:r>
            <w:proofErr w:type="spellStart"/>
            <w:r w:rsidR="009E43CA" w:rsidRPr="009E43CA">
              <w:rPr>
                <w:sz w:val="22"/>
                <w:szCs w:val="22"/>
              </w:rPr>
              <w:t>archaeologists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, art </w:t>
            </w:r>
            <w:proofErr w:type="spellStart"/>
            <w:r w:rsidR="009E43CA" w:rsidRPr="009E43CA">
              <w:rPr>
                <w:sz w:val="22"/>
                <w:szCs w:val="22"/>
              </w:rPr>
              <w:t>historians</w:t>
            </w:r>
            <w:proofErr w:type="spellEnd"/>
            <w:r w:rsidR="009E43CA" w:rsidRPr="009E43CA">
              <w:rPr>
                <w:sz w:val="22"/>
                <w:szCs w:val="22"/>
              </w:rPr>
              <w:t xml:space="preserve">, etc.) </w:t>
            </w:r>
            <w:r w:rsidR="009E43CA">
              <w:rPr>
                <w:sz w:val="22"/>
                <w:szCs w:val="22"/>
              </w:rPr>
              <w:t xml:space="preserve">in </w:t>
            </w:r>
            <w:proofErr w:type="spellStart"/>
            <w:r w:rsidR="009E43CA">
              <w:rPr>
                <w:sz w:val="22"/>
                <w:szCs w:val="22"/>
              </w:rPr>
              <w:t>order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to</w:t>
            </w:r>
            <w:proofErr w:type="spellEnd"/>
            <w:r w:rsidR="009E43CA">
              <w:rPr>
                <w:sz w:val="22"/>
                <w:szCs w:val="22"/>
              </w:rPr>
              <w:t xml:space="preserve"> </w:t>
            </w:r>
            <w:proofErr w:type="spellStart"/>
            <w:r w:rsidR="009E43CA">
              <w:rPr>
                <w:sz w:val="22"/>
                <w:szCs w:val="22"/>
              </w:rPr>
              <w:t>make</w:t>
            </w:r>
            <w:proofErr w:type="spellEnd"/>
            <w:r w:rsidR="009E43CA">
              <w:rPr>
                <w:sz w:val="22"/>
                <w:szCs w:val="22"/>
              </w:rPr>
              <w:t xml:space="preserve"> the </w:t>
            </w:r>
            <w:proofErr w:type="spellStart"/>
            <w:r w:rsidR="009E43CA">
              <w:rPr>
                <w:sz w:val="22"/>
                <w:szCs w:val="22"/>
              </w:rPr>
              <w:t>subject</w:t>
            </w:r>
            <w:proofErr w:type="spellEnd"/>
            <w:r w:rsidR="009E43CA">
              <w:rPr>
                <w:sz w:val="22"/>
                <w:szCs w:val="22"/>
              </w:rPr>
              <w:t xml:space="preserve"> more </w:t>
            </w:r>
            <w:proofErr w:type="spellStart"/>
            <w:r w:rsidR="009E43CA">
              <w:rPr>
                <w:sz w:val="22"/>
                <w:szCs w:val="22"/>
              </w:rPr>
              <w:t>colorful</w:t>
            </w:r>
            <w:proofErr w:type="spellEnd"/>
            <w:r w:rsidR="009E43CA">
              <w:rPr>
                <w:sz w:val="22"/>
                <w:szCs w:val="22"/>
              </w:rPr>
              <w:t>.</w:t>
            </w:r>
          </w:p>
          <w:p w:rsidR="00BD3F9B" w:rsidRPr="00BE16DC" w:rsidRDefault="00BD3F9B" w:rsidP="00E17DAE">
            <w:pPr>
              <w:suppressAutoHyphens/>
              <w:rPr>
                <w:sz w:val="22"/>
                <w:szCs w:val="22"/>
              </w:rPr>
            </w:pPr>
          </w:p>
        </w:tc>
      </w:tr>
      <w:tr w:rsidR="00A662E9" w:rsidRPr="00BE16DC" w:rsidTr="00244DB5">
        <w:tc>
          <w:tcPr>
            <w:tcW w:w="9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44DB5" w:rsidRDefault="00A662E9" w:rsidP="001F3FFE">
            <w:pPr>
              <w:suppressAutoHyphens/>
              <w:ind w:right="-108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Pr="00BE16DC">
              <w:rPr>
                <w:b/>
                <w:sz w:val="22"/>
                <w:szCs w:val="22"/>
              </w:rPr>
              <w:t>-5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</w:t>
            </w:r>
          </w:p>
          <w:p w:rsidR="00A662E9" w:rsidRPr="00C74FD2" w:rsidRDefault="00A662E9" w:rsidP="001F3FFE">
            <w:pPr>
              <w:suppressAutoHyphens/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>(szerző, cím, kiadás adatai, (esetleg oldalak), ISBN)</w:t>
            </w:r>
          </w:p>
        </w:tc>
      </w:tr>
      <w:tr w:rsidR="00A662E9" w:rsidRPr="00BE16DC" w:rsidTr="00244DB5">
        <w:tc>
          <w:tcPr>
            <w:tcW w:w="9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2931B9" w:rsidRPr="00244DB5" w:rsidRDefault="002931B9" w:rsidP="002931B9">
            <w:pPr>
              <w:jc w:val="both"/>
              <w:rPr>
                <w:b/>
                <w:sz w:val="22"/>
                <w:szCs w:val="22"/>
              </w:rPr>
            </w:pPr>
            <w:r w:rsidRPr="00244DB5">
              <w:rPr>
                <w:b/>
                <w:sz w:val="22"/>
                <w:szCs w:val="22"/>
              </w:rPr>
              <w:t>Ajánlott irodalom</w:t>
            </w:r>
          </w:p>
          <w:p w:rsidR="00520707" w:rsidRPr="00244DB5" w:rsidRDefault="00520707" w:rsidP="00244DB5">
            <w:pPr>
              <w:jc w:val="both"/>
              <w:rPr>
                <w:b/>
                <w:sz w:val="22"/>
                <w:szCs w:val="22"/>
              </w:rPr>
            </w:pPr>
          </w:p>
          <w:p w:rsidR="00244DB5" w:rsidRDefault="00EB6B3A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>Dr. Szabó László: Műemlék, műemlékvédelem, építészet. TERC kiadó, 2018. ISBN 978-6-155-44554-5</w:t>
            </w:r>
          </w:p>
          <w:p w:rsidR="00244DB5" w:rsidRPr="00244DB5" w:rsidRDefault="00E36E7F" w:rsidP="00244D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Román András (szerk.): </w:t>
            </w:r>
            <w:r w:rsidR="00244DB5">
              <w:rPr>
                <w:sz w:val="22"/>
                <w:szCs w:val="22"/>
              </w:rPr>
              <w:t>Karták könyve</w:t>
            </w:r>
            <w:r>
              <w:rPr>
                <w:sz w:val="22"/>
                <w:szCs w:val="22"/>
              </w:rPr>
              <w:t xml:space="preserve"> – Műemlékvédelmi dokumentumok gyűjteménye, ICOMOS Magyar Nemzeti Bizottság, 2002.</w:t>
            </w:r>
          </w:p>
          <w:p w:rsidR="00520707" w:rsidRPr="00244DB5" w:rsidRDefault="00C8128F" w:rsidP="00244DB5">
            <w:pPr>
              <w:jc w:val="both"/>
              <w:rPr>
                <w:sz w:val="22"/>
                <w:szCs w:val="22"/>
              </w:rPr>
            </w:pPr>
            <w:proofErr w:type="spellStart"/>
            <w:r w:rsidRPr="00244DB5">
              <w:rPr>
                <w:sz w:val="22"/>
                <w:szCs w:val="22"/>
              </w:rPr>
              <w:lastRenderedPageBreak/>
              <w:t>Ayman</w:t>
            </w:r>
            <w:proofErr w:type="spellEnd"/>
            <w:r w:rsidRPr="00244DB5">
              <w:rPr>
                <w:sz w:val="22"/>
                <w:szCs w:val="22"/>
              </w:rPr>
              <w:t xml:space="preserve"> </w:t>
            </w:r>
            <w:proofErr w:type="gramStart"/>
            <w:r w:rsidRPr="00244DB5">
              <w:rPr>
                <w:sz w:val="22"/>
                <w:szCs w:val="22"/>
              </w:rPr>
              <w:t>Abdel</w:t>
            </w:r>
            <w:r w:rsidR="00E36E7F">
              <w:rPr>
                <w:sz w:val="22"/>
                <w:szCs w:val="22"/>
              </w:rPr>
              <w:t xml:space="preserve"> </w:t>
            </w:r>
            <w:r w:rsidRPr="00244DB5">
              <w:rPr>
                <w:sz w:val="22"/>
                <w:szCs w:val="22"/>
              </w:rPr>
              <w:t xml:space="preserve"> </w:t>
            </w:r>
            <w:proofErr w:type="spellStart"/>
            <w:r w:rsidRPr="00244DB5">
              <w:rPr>
                <w:sz w:val="22"/>
                <w:szCs w:val="22"/>
              </w:rPr>
              <w:t>Tawab</w:t>
            </w:r>
            <w:proofErr w:type="spellEnd"/>
            <w:proofErr w:type="gramEnd"/>
            <w:r w:rsidRPr="00244DB5">
              <w:rPr>
                <w:sz w:val="22"/>
                <w:szCs w:val="22"/>
              </w:rPr>
              <w:t xml:space="preserve">: </w:t>
            </w:r>
            <w:proofErr w:type="spellStart"/>
            <w:r w:rsidRPr="00244DB5">
              <w:rPr>
                <w:sz w:val="22"/>
                <w:szCs w:val="22"/>
              </w:rPr>
              <w:t>Introduction</w:t>
            </w:r>
            <w:proofErr w:type="spellEnd"/>
            <w:r w:rsidRPr="00244DB5">
              <w:rPr>
                <w:sz w:val="22"/>
                <w:szCs w:val="22"/>
              </w:rPr>
              <w:t xml:space="preserve"> </w:t>
            </w:r>
            <w:proofErr w:type="spellStart"/>
            <w:r w:rsidRPr="00244DB5">
              <w:rPr>
                <w:sz w:val="22"/>
                <w:szCs w:val="22"/>
              </w:rPr>
              <w:t>to</w:t>
            </w:r>
            <w:proofErr w:type="spellEnd"/>
            <w:r w:rsidRPr="00244DB5">
              <w:rPr>
                <w:sz w:val="22"/>
                <w:szCs w:val="22"/>
              </w:rPr>
              <w:t xml:space="preserve"> Urban Conservation, LAP </w:t>
            </w:r>
            <w:proofErr w:type="spellStart"/>
            <w:r w:rsidRPr="00244DB5">
              <w:rPr>
                <w:sz w:val="22"/>
                <w:szCs w:val="22"/>
              </w:rPr>
              <w:t>Lamber</w:t>
            </w:r>
            <w:proofErr w:type="spellEnd"/>
            <w:r w:rsidRPr="00244DB5">
              <w:rPr>
                <w:sz w:val="22"/>
                <w:szCs w:val="22"/>
              </w:rPr>
              <w:t xml:space="preserve"> </w:t>
            </w:r>
            <w:proofErr w:type="spellStart"/>
            <w:r w:rsidRPr="00244DB5">
              <w:rPr>
                <w:sz w:val="22"/>
                <w:szCs w:val="22"/>
              </w:rPr>
              <w:t>academic</w:t>
            </w:r>
            <w:proofErr w:type="spellEnd"/>
            <w:r w:rsidRPr="00244DB5">
              <w:rPr>
                <w:sz w:val="22"/>
                <w:szCs w:val="22"/>
              </w:rPr>
              <w:t xml:space="preserve"> Publishing, 2013.</w:t>
            </w:r>
          </w:p>
          <w:p w:rsidR="00C8128F" w:rsidRDefault="00520707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>ISBN 978-3-659-41795-1</w:t>
            </w:r>
          </w:p>
          <w:p w:rsidR="00244DB5" w:rsidRDefault="00244DB5" w:rsidP="00244DB5">
            <w:pPr>
              <w:jc w:val="both"/>
              <w:rPr>
                <w:sz w:val="22"/>
                <w:szCs w:val="22"/>
              </w:rPr>
            </w:pPr>
            <w:proofErr w:type="spellStart"/>
            <w:r w:rsidRPr="00244DB5">
              <w:rPr>
                <w:sz w:val="22"/>
                <w:szCs w:val="22"/>
              </w:rPr>
              <w:t>Ollich-Castanyer</w:t>
            </w:r>
            <w:proofErr w:type="spellEnd"/>
            <w:r w:rsidRPr="00244DB5">
              <w:rPr>
                <w:sz w:val="22"/>
                <w:szCs w:val="22"/>
              </w:rPr>
              <w:t xml:space="preserve"> I. (</w:t>
            </w:r>
            <w:proofErr w:type="spellStart"/>
            <w:r w:rsidRPr="00244DB5">
              <w:rPr>
                <w:sz w:val="22"/>
                <w:szCs w:val="22"/>
              </w:rPr>
              <w:t>ed</w:t>
            </w:r>
            <w:proofErr w:type="spellEnd"/>
            <w:r w:rsidRPr="00244DB5">
              <w:rPr>
                <w:sz w:val="22"/>
                <w:szCs w:val="22"/>
              </w:rPr>
              <w:t xml:space="preserve">.) </w:t>
            </w:r>
            <w:proofErr w:type="spellStart"/>
            <w:r w:rsidRPr="00244DB5">
              <w:rPr>
                <w:sz w:val="22"/>
                <w:szCs w:val="22"/>
              </w:rPr>
              <w:t>Archaeology</w:t>
            </w:r>
            <w:proofErr w:type="spellEnd"/>
            <w:r w:rsidRPr="00244DB5">
              <w:rPr>
                <w:sz w:val="22"/>
                <w:szCs w:val="22"/>
              </w:rPr>
              <w:t xml:space="preserve">, New </w:t>
            </w:r>
            <w:proofErr w:type="spellStart"/>
            <w:r w:rsidRPr="00244DB5">
              <w:rPr>
                <w:sz w:val="22"/>
                <w:szCs w:val="22"/>
              </w:rPr>
              <w:t>Approaches</w:t>
            </w:r>
            <w:proofErr w:type="spellEnd"/>
            <w:r w:rsidRPr="00244DB5">
              <w:rPr>
                <w:sz w:val="22"/>
                <w:szCs w:val="22"/>
              </w:rPr>
              <w:t xml:space="preserve"> in </w:t>
            </w:r>
            <w:proofErr w:type="spellStart"/>
            <w:r w:rsidRPr="00244DB5">
              <w:rPr>
                <w:sz w:val="22"/>
                <w:szCs w:val="22"/>
              </w:rPr>
              <w:t>Theory</w:t>
            </w:r>
            <w:proofErr w:type="spellEnd"/>
            <w:r w:rsidRPr="00244DB5">
              <w:rPr>
                <w:sz w:val="22"/>
                <w:szCs w:val="22"/>
              </w:rPr>
              <w:t xml:space="preserve"> and </w:t>
            </w:r>
            <w:proofErr w:type="spellStart"/>
            <w:r w:rsidRPr="00244DB5">
              <w:rPr>
                <w:sz w:val="22"/>
                <w:szCs w:val="22"/>
              </w:rPr>
              <w:t>Techniques</w:t>
            </w:r>
            <w:proofErr w:type="spellEnd"/>
            <w:r w:rsidRPr="00244DB5">
              <w:rPr>
                <w:sz w:val="22"/>
                <w:szCs w:val="22"/>
              </w:rPr>
              <w:t xml:space="preserve">, </w:t>
            </w:r>
            <w:proofErr w:type="spellStart"/>
            <w:r w:rsidRPr="00244DB5">
              <w:rPr>
                <w:sz w:val="22"/>
                <w:szCs w:val="22"/>
              </w:rPr>
              <w:t>InTech</w:t>
            </w:r>
            <w:proofErr w:type="spellEnd"/>
            <w:r w:rsidRPr="00244DB5">
              <w:rPr>
                <w:sz w:val="22"/>
                <w:szCs w:val="22"/>
              </w:rPr>
              <w:t>, 2012.</w:t>
            </w:r>
            <w:r>
              <w:rPr>
                <w:sz w:val="22"/>
                <w:szCs w:val="22"/>
              </w:rPr>
              <w:t xml:space="preserve"> </w:t>
            </w:r>
          </w:p>
          <w:p w:rsidR="002931B9" w:rsidRPr="00244DB5" w:rsidRDefault="002931B9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 xml:space="preserve">Craig </w:t>
            </w:r>
            <w:proofErr w:type="spellStart"/>
            <w:r w:rsidRPr="00244DB5">
              <w:rPr>
                <w:sz w:val="22"/>
                <w:szCs w:val="22"/>
              </w:rPr>
              <w:t>Forrest</w:t>
            </w:r>
            <w:proofErr w:type="spellEnd"/>
            <w:r w:rsidRPr="00244DB5">
              <w:rPr>
                <w:sz w:val="22"/>
                <w:szCs w:val="22"/>
              </w:rPr>
              <w:t xml:space="preserve">: International Law and the </w:t>
            </w:r>
            <w:proofErr w:type="spellStart"/>
            <w:r w:rsidRPr="00244DB5">
              <w:rPr>
                <w:sz w:val="22"/>
                <w:szCs w:val="22"/>
              </w:rPr>
              <w:t>protection</w:t>
            </w:r>
            <w:proofErr w:type="spellEnd"/>
            <w:r w:rsidRPr="00244DB5">
              <w:rPr>
                <w:sz w:val="22"/>
                <w:szCs w:val="22"/>
              </w:rPr>
              <w:t xml:space="preserve"> of </w:t>
            </w:r>
            <w:proofErr w:type="spellStart"/>
            <w:r w:rsidRPr="00244DB5">
              <w:rPr>
                <w:sz w:val="22"/>
                <w:szCs w:val="22"/>
              </w:rPr>
              <w:t>Cultural</w:t>
            </w:r>
            <w:proofErr w:type="spellEnd"/>
            <w:r w:rsidRPr="00244DB5">
              <w:rPr>
                <w:sz w:val="22"/>
                <w:szCs w:val="22"/>
              </w:rPr>
              <w:t xml:space="preserve"> Heritage, 2010</w:t>
            </w:r>
            <w:r w:rsidR="00EB6B3A" w:rsidRPr="00244DB5">
              <w:rPr>
                <w:sz w:val="22"/>
                <w:szCs w:val="22"/>
              </w:rPr>
              <w:t>.</w:t>
            </w:r>
          </w:p>
          <w:p w:rsidR="00244DB5" w:rsidRPr="00244DB5" w:rsidRDefault="002931B9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 xml:space="preserve">Tamás Molnár: Heritage </w:t>
            </w:r>
            <w:proofErr w:type="spellStart"/>
            <w:r w:rsidRPr="00244DB5">
              <w:rPr>
                <w:sz w:val="22"/>
                <w:szCs w:val="22"/>
              </w:rPr>
              <w:t>Protection</w:t>
            </w:r>
            <w:proofErr w:type="spellEnd"/>
            <w:r w:rsidRPr="00244DB5">
              <w:rPr>
                <w:sz w:val="22"/>
                <w:szCs w:val="22"/>
              </w:rPr>
              <w:t xml:space="preserve"> in Pécs/</w:t>
            </w:r>
            <w:proofErr w:type="spellStart"/>
            <w:r w:rsidRPr="00244DB5">
              <w:rPr>
                <w:sz w:val="22"/>
                <w:szCs w:val="22"/>
              </w:rPr>
              <w:t>Sopiane</w:t>
            </w:r>
            <w:proofErr w:type="spellEnd"/>
            <w:r w:rsidRPr="00244DB5">
              <w:rPr>
                <w:sz w:val="22"/>
                <w:szCs w:val="22"/>
              </w:rPr>
              <w:t xml:space="preserve">, </w:t>
            </w:r>
            <w:proofErr w:type="spellStart"/>
            <w:r w:rsidRPr="00244DB5">
              <w:rPr>
                <w:sz w:val="22"/>
                <w:szCs w:val="22"/>
              </w:rPr>
              <w:t>InTech</w:t>
            </w:r>
            <w:proofErr w:type="spellEnd"/>
            <w:r w:rsidRPr="00244DB5">
              <w:rPr>
                <w:sz w:val="22"/>
                <w:szCs w:val="22"/>
              </w:rPr>
              <w:t>, 2012</w:t>
            </w:r>
            <w:r w:rsidR="00EB6B3A" w:rsidRPr="00244DB5">
              <w:rPr>
                <w:sz w:val="22"/>
                <w:szCs w:val="22"/>
              </w:rPr>
              <w:t>.</w:t>
            </w:r>
          </w:p>
          <w:p w:rsidR="002931B9" w:rsidRDefault="00013969" w:rsidP="00244DB5">
            <w:pPr>
              <w:ind w:right="1893"/>
              <w:jc w:val="both"/>
              <w:rPr>
                <w:rStyle w:val="Hiperhivatkozs"/>
                <w:sz w:val="22"/>
                <w:szCs w:val="22"/>
              </w:rPr>
            </w:pPr>
            <w:hyperlink r:id="rId7" w:history="1">
              <w:r w:rsidR="002931B9" w:rsidRPr="00244DB5">
                <w:rPr>
                  <w:rStyle w:val="Hiperhivatkozs"/>
                  <w:sz w:val="22"/>
                  <w:szCs w:val="22"/>
                </w:rPr>
                <w:t>http://www.intechopen.com/books/archaeology-new-approaches-in-theory-and-techniques/heritage-protection-in-p-cs-sopianae</w:t>
              </w:r>
            </w:hyperlink>
          </w:p>
          <w:p w:rsidR="00244DB5" w:rsidRPr="00244DB5" w:rsidRDefault="00244DB5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 xml:space="preserve">Barbara T. Hoffmann: Art and </w:t>
            </w:r>
            <w:proofErr w:type="spellStart"/>
            <w:r w:rsidRPr="00244DB5">
              <w:rPr>
                <w:sz w:val="22"/>
                <w:szCs w:val="22"/>
              </w:rPr>
              <w:t>Cultural</w:t>
            </w:r>
            <w:proofErr w:type="spellEnd"/>
            <w:r w:rsidRPr="00244DB5">
              <w:rPr>
                <w:sz w:val="22"/>
                <w:szCs w:val="22"/>
              </w:rPr>
              <w:t xml:space="preserve"> Heritage </w:t>
            </w:r>
            <w:r>
              <w:rPr>
                <w:sz w:val="22"/>
                <w:szCs w:val="22"/>
              </w:rPr>
              <w:t>-</w:t>
            </w:r>
            <w:r w:rsidRPr="00244DB5">
              <w:rPr>
                <w:sz w:val="22"/>
                <w:szCs w:val="22"/>
              </w:rPr>
              <w:t xml:space="preserve"> Law, Policy and </w:t>
            </w:r>
            <w:proofErr w:type="spellStart"/>
            <w:r w:rsidRPr="00244DB5">
              <w:rPr>
                <w:sz w:val="22"/>
                <w:szCs w:val="22"/>
              </w:rPr>
              <w:t>Practice</w:t>
            </w:r>
            <w:proofErr w:type="spellEnd"/>
            <w:r w:rsidRPr="00244DB5">
              <w:rPr>
                <w:sz w:val="22"/>
                <w:szCs w:val="22"/>
              </w:rPr>
              <w:t>, Cambridge University Press, 2006.</w:t>
            </w:r>
          </w:p>
          <w:p w:rsidR="00520707" w:rsidRDefault="00520707" w:rsidP="00244DB5">
            <w:pPr>
              <w:jc w:val="both"/>
              <w:rPr>
                <w:sz w:val="22"/>
                <w:szCs w:val="22"/>
              </w:rPr>
            </w:pPr>
            <w:r w:rsidRPr="00244DB5">
              <w:rPr>
                <w:sz w:val="22"/>
                <w:szCs w:val="22"/>
              </w:rPr>
              <w:t>Nahoum Cohen: Urban conservation, MIT Press, 1999.</w:t>
            </w:r>
          </w:p>
          <w:p w:rsidR="00244DB5" w:rsidRPr="00244DB5" w:rsidRDefault="00244DB5" w:rsidP="00244DB5">
            <w:pPr>
              <w:rPr>
                <w:sz w:val="22"/>
                <w:szCs w:val="22"/>
              </w:rPr>
            </w:pPr>
            <w:proofErr w:type="spellStart"/>
            <w:r w:rsidRPr="00244DB5">
              <w:rPr>
                <w:sz w:val="22"/>
                <w:szCs w:val="22"/>
              </w:rPr>
              <w:t>Ollich-Castanyer</w:t>
            </w:r>
            <w:proofErr w:type="spellEnd"/>
            <w:r w:rsidRPr="00244DB5">
              <w:rPr>
                <w:sz w:val="22"/>
                <w:szCs w:val="22"/>
              </w:rPr>
              <w:t xml:space="preserve"> I. (</w:t>
            </w:r>
            <w:proofErr w:type="spellStart"/>
            <w:r w:rsidRPr="00244DB5">
              <w:rPr>
                <w:sz w:val="22"/>
                <w:szCs w:val="22"/>
              </w:rPr>
              <w:t>ed</w:t>
            </w:r>
            <w:proofErr w:type="spellEnd"/>
            <w:r w:rsidRPr="00244DB5">
              <w:rPr>
                <w:sz w:val="22"/>
                <w:szCs w:val="22"/>
              </w:rPr>
              <w:t xml:space="preserve">.) </w:t>
            </w:r>
            <w:proofErr w:type="spellStart"/>
            <w:r w:rsidRPr="00244DB5">
              <w:rPr>
                <w:sz w:val="22"/>
                <w:szCs w:val="22"/>
              </w:rPr>
              <w:t>Archaeology</w:t>
            </w:r>
            <w:proofErr w:type="spellEnd"/>
            <w:r w:rsidRPr="00244DB5">
              <w:rPr>
                <w:sz w:val="22"/>
                <w:szCs w:val="22"/>
              </w:rPr>
              <w:t xml:space="preserve">, New </w:t>
            </w:r>
            <w:proofErr w:type="spellStart"/>
            <w:r w:rsidRPr="00244DB5">
              <w:rPr>
                <w:sz w:val="22"/>
                <w:szCs w:val="22"/>
              </w:rPr>
              <w:t>Approaches</w:t>
            </w:r>
            <w:proofErr w:type="spellEnd"/>
            <w:r w:rsidRPr="00244DB5">
              <w:rPr>
                <w:sz w:val="22"/>
                <w:szCs w:val="22"/>
              </w:rPr>
              <w:t xml:space="preserve"> in </w:t>
            </w:r>
            <w:proofErr w:type="spellStart"/>
            <w:r w:rsidRPr="00244DB5">
              <w:rPr>
                <w:sz w:val="22"/>
                <w:szCs w:val="22"/>
              </w:rPr>
              <w:t>Theory</w:t>
            </w:r>
            <w:proofErr w:type="spellEnd"/>
            <w:r w:rsidRPr="00244DB5">
              <w:rPr>
                <w:sz w:val="22"/>
                <w:szCs w:val="22"/>
              </w:rPr>
              <w:t xml:space="preserve"> and </w:t>
            </w:r>
            <w:proofErr w:type="spellStart"/>
            <w:r w:rsidRPr="00244DB5">
              <w:rPr>
                <w:sz w:val="22"/>
                <w:szCs w:val="22"/>
              </w:rPr>
              <w:t>Techniques</w:t>
            </w:r>
            <w:proofErr w:type="spellEnd"/>
            <w:r w:rsidRPr="00244DB5">
              <w:rPr>
                <w:sz w:val="22"/>
                <w:szCs w:val="22"/>
              </w:rPr>
              <w:t xml:space="preserve">, </w:t>
            </w:r>
            <w:proofErr w:type="spellStart"/>
            <w:r w:rsidRPr="00244DB5">
              <w:rPr>
                <w:sz w:val="22"/>
                <w:szCs w:val="22"/>
              </w:rPr>
              <w:t>InTech</w:t>
            </w:r>
            <w:proofErr w:type="spellEnd"/>
            <w:r w:rsidRPr="00244DB5">
              <w:rPr>
                <w:sz w:val="22"/>
                <w:szCs w:val="22"/>
              </w:rPr>
              <w:t>, 2012.</w:t>
            </w:r>
          </w:p>
          <w:p w:rsidR="00EB6B3A" w:rsidRPr="00B10935" w:rsidRDefault="00EB6B3A" w:rsidP="002931B9">
            <w:pPr>
              <w:jc w:val="both"/>
              <w:rPr>
                <w:rStyle w:val="Hiperhivatkozs"/>
              </w:rPr>
            </w:pPr>
          </w:p>
          <w:p w:rsidR="002931B9" w:rsidRPr="00C8128F" w:rsidRDefault="00C8128F" w:rsidP="002931B9">
            <w:pPr>
              <w:jc w:val="both"/>
              <w:rPr>
                <w:rStyle w:val="Hiperhivatkozs"/>
                <w:b/>
                <w:color w:val="auto"/>
                <w:u w:val="none"/>
              </w:rPr>
            </w:pPr>
            <w:r w:rsidRPr="00C8128F">
              <w:rPr>
                <w:rStyle w:val="Hiperhivatkozs"/>
                <w:b/>
                <w:color w:val="auto"/>
                <w:u w:val="none"/>
              </w:rPr>
              <w:t>Folyóiratok:</w:t>
            </w:r>
          </w:p>
          <w:p w:rsidR="00A662E9" w:rsidRDefault="00C8128F" w:rsidP="00EB6B3A">
            <w:pPr>
              <w:suppressAutoHyphens/>
            </w:pPr>
            <w:r>
              <w:t>Műemlékvédelem folyóirat (I-LXII. lapszámai)</w:t>
            </w:r>
            <w:r w:rsidR="00EB6B3A">
              <w:t xml:space="preserve">, </w:t>
            </w:r>
            <w:proofErr w:type="spellStart"/>
            <w:r w:rsidR="00EB6B3A">
              <w:t>főszerk</w:t>
            </w:r>
            <w:proofErr w:type="spellEnd"/>
            <w:r w:rsidR="00EB6B3A">
              <w:t xml:space="preserve">.: </w:t>
            </w:r>
            <w:proofErr w:type="spellStart"/>
            <w:r w:rsidR="00EB6B3A">
              <w:t>Vukovszávlyev</w:t>
            </w:r>
            <w:proofErr w:type="spellEnd"/>
            <w:r w:rsidR="00EB6B3A">
              <w:t xml:space="preserve"> Zorán</w:t>
            </w:r>
          </w:p>
          <w:p w:rsidR="00EB6B3A" w:rsidRDefault="00EB6B3A" w:rsidP="00EB6B3A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Múzeumcafé folyóirat (1-68. lapszám</w:t>
            </w:r>
            <w:r w:rsidR="00244DB5">
              <w:rPr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>
              <w:rPr>
                <w:sz w:val="22"/>
                <w:szCs w:val="22"/>
              </w:rPr>
              <w:t>főszerk</w:t>
            </w:r>
            <w:proofErr w:type="spellEnd"/>
            <w:r>
              <w:rPr>
                <w:sz w:val="22"/>
                <w:szCs w:val="22"/>
              </w:rPr>
              <w:t>.: Gréczi Emőke</w:t>
            </w:r>
          </w:p>
          <w:p w:rsidR="00BD3F9B" w:rsidRPr="00CD0677" w:rsidRDefault="00BD3F9B" w:rsidP="00EB6B3A">
            <w:pPr>
              <w:suppressAutoHyphens/>
              <w:rPr>
                <w:sz w:val="22"/>
                <w:szCs w:val="22"/>
              </w:rPr>
            </w:pPr>
          </w:p>
        </w:tc>
      </w:tr>
      <w:tr w:rsidR="00A662E9" w:rsidRPr="00BE16DC" w:rsidTr="00244DB5">
        <w:tc>
          <w:tcPr>
            <w:tcW w:w="952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662E9" w:rsidRPr="0000385F" w:rsidRDefault="00A662E9" w:rsidP="001F3FFE">
            <w:pPr>
              <w:suppressAutoHyphens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lastRenderedPageBreak/>
              <w:t xml:space="preserve">Azoknak az </w:t>
            </w:r>
            <w:r w:rsidRPr="0000385F">
              <w:rPr>
                <w:b/>
                <w:sz w:val="22"/>
                <w:szCs w:val="22"/>
              </w:rPr>
              <w:t>előírt</w:t>
            </w:r>
            <w:r w:rsidRPr="0000385F">
              <w:rPr>
                <w:sz w:val="22"/>
                <w:szCs w:val="22"/>
              </w:rPr>
              <w:t xml:space="preserve"> </w:t>
            </w:r>
            <w:r w:rsidRPr="00F82273">
              <w:rPr>
                <w:sz w:val="22"/>
                <w:szCs w:val="22"/>
              </w:rPr>
              <w:t>s</w:t>
            </w:r>
            <w:r w:rsidRPr="00F82273">
              <w:rPr>
                <w:b/>
                <w:sz w:val="22"/>
                <w:szCs w:val="22"/>
              </w:rPr>
              <w:t>zakmai kompetenciáknak, kompetencia-elemeknek</w:t>
            </w:r>
            <w:r w:rsidRPr="0000385F">
              <w:rPr>
                <w:sz w:val="21"/>
                <w:szCs w:val="21"/>
              </w:rPr>
              <w:t xml:space="preserve"> </w:t>
            </w:r>
            <w:r w:rsidRPr="0000385F">
              <w:rPr>
                <w:i/>
              </w:rPr>
              <w:t>(tudás, képesség</w:t>
            </w:r>
            <w:r w:rsidRPr="0000385F">
              <w:t xml:space="preserve"> stb., </w:t>
            </w:r>
            <w:r w:rsidRPr="0000385F">
              <w:rPr>
                <w:i/>
              </w:rPr>
              <w:t xml:space="preserve">KKK </w:t>
            </w:r>
            <w:r>
              <w:rPr>
                <w:b/>
                <w:i/>
              </w:rPr>
              <w:t>8</w:t>
            </w:r>
            <w:r w:rsidRPr="0000385F">
              <w:rPr>
                <w:b/>
                <w:i/>
              </w:rPr>
              <w:t>.</w:t>
            </w:r>
            <w:r w:rsidRPr="0000385F">
              <w:rPr>
                <w:i/>
              </w:rPr>
              <w:t xml:space="preserve"> pont</w:t>
            </w:r>
            <w:r w:rsidRPr="0000385F">
              <w:t xml:space="preserve">) </w:t>
            </w:r>
            <w:r w:rsidRPr="0000385F">
              <w:rPr>
                <w:sz w:val="22"/>
                <w:szCs w:val="22"/>
              </w:rPr>
              <w:t xml:space="preserve">a felsorolása, </w:t>
            </w:r>
            <w:r w:rsidRPr="0000385F">
              <w:rPr>
                <w:b/>
                <w:sz w:val="22"/>
                <w:szCs w:val="22"/>
              </w:rPr>
              <w:t>amelyek kialakításához a</w:t>
            </w:r>
            <w:r>
              <w:rPr>
                <w:b/>
                <w:sz w:val="22"/>
                <w:szCs w:val="22"/>
              </w:rPr>
              <w:t xml:space="preserve"> tantárgy jellemzően, érdemben </w:t>
            </w:r>
            <w:r w:rsidRPr="0000385F">
              <w:rPr>
                <w:b/>
                <w:sz w:val="22"/>
                <w:szCs w:val="22"/>
              </w:rPr>
              <w:t>hozzájárul</w:t>
            </w:r>
          </w:p>
        </w:tc>
      </w:tr>
      <w:tr w:rsidR="00A662E9" w:rsidRPr="00BE16DC" w:rsidTr="00244DB5">
        <w:trPr>
          <w:trHeight w:val="296"/>
        </w:trPr>
        <w:tc>
          <w:tcPr>
            <w:tcW w:w="95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662E9" w:rsidRPr="00C20FEE" w:rsidRDefault="00A662E9" w:rsidP="00C50013">
            <w:pPr>
              <w:suppressAutoHyphens/>
              <w:rPr>
                <w:i/>
                <w:color w:val="333399"/>
              </w:rPr>
            </w:pPr>
          </w:p>
          <w:p w:rsidR="00A662E9" w:rsidRPr="0000385F" w:rsidRDefault="00A662E9" w:rsidP="00A662E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tudása</w:t>
            </w:r>
          </w:p>
          <w:p w:rsidR="00A662E9" w:rsidRPr="00CD0677" w:rsidRDefault="00C50013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013">
              <w:rPr>
                <w:sz w:val="22"/>
                <w:szCs w:val="22"/>
              </w:rPr>
              <w:t>Megújuló önálló tudással rendelkezik, tudásának része a széles spektrumú műveltség.</w:t>
            </w:r>
          </w:p>
          <w:p w:rsidR="00A662E9" w:rsidRDefault="00A662E9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 w:rsidRPr="00CD0677">
              <w:rPr>
                <w:sz w:val="22"/>
                <w:szCs w:val="22"/>
              </w:rPr>
              <w:t>-</w:t>
            </w:r>
            <w:r w:rsidR="00C50013">
              <w:rPr>
                <w:sz w:val="22"/>
                <w:szCs w:val="22"/>
              </w:rPr>
              <w:t xml:space="preserve"> </w:t>
            </w:r>
            <w:r w:rsidR="00C50013" w:rsidRPr="00C50013">
              <w:rPr>
                <w:sz w:val="22"/>
                <w:szCs w:val="22"/>
              </w:rPr>
              <w:t>Széles körű, rendszerszerű és specializált ismeretekkel rendelkezik az építőművészethez kapcsolódó tágabb művészeti és kulturális kontextusról, annak történeti alakulásáról, meghatározó korszakairól, irányzatairól, valamint jelenkori működéséről és főbb tendenciáiról.</w:t>
            </w:r>
          </w:p>
          <w:p w:rsidR="00C50013" w:rsidRDefault="00C50013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013">
              <w:rPr>
                <w:sz w:val="22"/>
                <w:szCs w:val="22"/>
              </w:rPr>
              <w:t>Ismeri és érti saját erősségeit és gyengeségeit a szakmai tevékenységben, és érti azt, hogy az élethosszig tartó tanulás és a megújuló tudás hogyan lehet hasznos számára.</w:t>
            </w:r>
          </w:p>
          <w:p w:rsidR="00C50013" w:rsidRDefault="00C50013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C50013" w:rsidRPr="00CD0677" w:rsidRDefault="00C50013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A662E9" w:rsidRPr="0000385F" w:rsidRDefault="00A662E9" w:rsidP="00A662E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>képességei</w:t>
            </w:r>
          </w:p>
          <w:p w:rsidR="00A662E9" w:rsidRDefault="00C50013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0013">
              <w:rPr>
                <w:sz w:val="22"/>
                <w:szCs w:val="22"/>
              </w:rPr>
              <w:t>Felismer komplex szakmai problémákat, saját tervezési, alkotói programot alakít ki, és ez alapján önálló kreatív szakmai munkát végez.</w:t>
            </w:r>
          </w:p>
          <w:p w:rsidR="006E2B94" w:rsidRPr="00CD0677" w:rsidRDefault="006E2B94" w:rsidP="001F3FFE">
            <w:pPr>
              <w:tabs>
                <w:tab w:val="left" w:pos="317"/>
              </w:tabs>
              <w:suppressAutoHyphens/>
              <w:ind w:left="176"/>
              <w:rPr>
                <w:sz w:val="22"/>
                <w:szCs w:val="22"/>
              </w:rPr>
            </w:pPr>
          </w:p>
          <w:p w:rsidR="00C50013" w:rsidRPr="0000385F" w:rsidRDefault="00C50013" w:rsidP="00C50013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attitűdje</w:t>
            </w:r>
          </w:p>
          <w:p w:rsidR="00A662E9" w:rsidRDefault="00C50013" w:rsidP="00C50013">
            <w:pPr>
              <w:pStyle w:val="Listaszerbekezds"/>
              <w:numPr>
                <w:ilvl w:val="0"/>
                <w:numId w:val="3"/>
              </w:numPr>
              <w:suppressAutoHyphens/>
              <w:ind w:left="349" w:hanging="142"/>
              <w:rPr>
                <w:sz w:val="22"/>
                <w:szCs w:val="22"/>
              </w:rPr>
            </w:pPr>
            <w:r w:rsidRPr="00C50013">
              <w:rPr>
                <w:sz w:val="22"/>
                <w:szCs w:val="22"/>
              </w:rPr>
              <w:t>Magas fokú minőség és értékorientáltság, művészi érzékenység és intellektuális szemlélet jellemzi építőművészi alkotótevékenységét.</w:t>
            </w:r>
          </w:p>
          <w:p w:rsidR="00C50013" w:rsidRPr="00C50013" w:rsidRDefault="00C50013" w:rsidP="00C50013">
            <w:pPr>
              <w:pStyle w:val="Listaszerbekezds"/>
              <w:numPr>
                <w:ilvl w:val="0"/>
                <w:numId w:val="3"/>
              </w:numPr>
              <w:suppressAutoHyphens/>
              <w:ind w:left="349" w:hanging="142"/>
              <w:rPr>
                <w:sz w:val="22"/>
                <w:szCs w:val="22"/>
              </w:rPr>
            </w:pPr>
            <w:r w:rsidRPr="00C50013">
              <w:rPr>
                <w:sz w:val="22"/>
                <w:szCs w:val="22"/>
              </w:rPr>
              <w:t>Aktívan keresi az együttműködést más művészeti ágak és szakterületek szereplőivel, aktívan kezdeményez interdiszciplináris projekteket, szakmai tevékenységét integratív szemlélettel végzi.</w:t>
            </w:r>
          </w:p>
          <w:p w:rsidR="00C50013" w:rsidRDefault="00C50013" w:rsidP="00C50013">
            <w:pPr>
              <w:suppressAutoHyphens/>
              <w:rPr>
                <w:sz w:val="22"/>
                <w:szCs w:val="22"/>
              </w:rPr>
            </w:pPr>
          </w:p>
          <w:p w:rsidR="00C50013" w:rsidRDefault="00C50013" w:rsidP="00C50013">
            <w:pPr>
              <w:pStyle w:val="Listaszerbekezds"/>
              <w:numPr>
                <w:ilvl w:val="0"/>
                <w:numId w:val="1"/>
              </w:numPr>
              <w:suppressAutoHyphens/>
              <w:rPr>
                <w:b/>
                <w:sz w:val="22"/>
                <w:szCs w:val="22"/>
              </w:rPr>
            </w:pPr>
            <w:r w:rsidRPr="00C50013">
              <w:rPr>
                <w:b/>
                <w:sz w:val="22"/>
                <w:szCs w:val="22"/>
              </w:rPr>
              <w:t>autonómiája és felelőssége</w:t>
            </w:r>
          </w:p>
          <w:p w:rsidR="00C50013" w:rsidRPr="00C50013" w:rsidRDefault="00C50013" w:rsidP="00C50013">
            <w:pPr>
              <w:pStyle w:val="Listaszerbekezds"/>
              <w:numPr>
                <w:ilvl w:val="0"/>
                <w:numId w:val="3"/>
              </w:numPr>
              <w:suppressAutoHyphens/>
              <w:ind w:left="349" w:hanging="142"/>
              <w:rPr>
                <w:sz w:val="22"/>
                <w:szCs w:val="22"/>
              </w:rPr>
            </w:pPr>
            <w:r w:rsidRPr="00C50013">
              <w:rPr>
                <w:sz w:val="22"/>
                <w:szCs w:val="22"/>
              </w:rPr>
              <w:t>Szakmai identitása kialakult.</w:t>
            </w:r>
          </w:p>
          <w:p w:rsidR="00C50013" w:rsidRPr="00C50013" w:rsidRDefault="00C50013" w:rsidP="00C50013">
            <w:pPr>
              <w:pStyle w:val="Listaszerbekezds"/>
              <w:numPr>
                <w:ilvl w:val="0"/>
                <w:numId w:val="3"/>
              </w:numPr>
              <w:suppressAutoHyphens/>
              <w:ind w:left="349" w:hanging="142"/>
              <w:rPr>
                <w:sz w:val="22"/>
                <w:szCs w:val="22"/>
              </w:rPr>
            </w:pPr>
            <w:r w:rsidRPr="00C50013">
              <w:rPr>
                <w:sz w:val="22"/>
                <w:szCs w:val="22"/>
              </w:rPr>
              <w:t>Interdiszciplináris tevékenységekben is autonóm módon és felelősen tevékenykedik.</w:t>
            </w:r>
          </w:p>
          <w:p w:rsidR="00C50013" w:rsidRPr="006E2B94" w:rsidRDefault="00C50013" w:rsidP="00C50013">
            <w:pPr>
              <w:pStyle w:val="Listaszerbekezds"/>
              <w:numPr>
                <w:ilvl w:val="0"/>
                <w:numId w:val="3"/>
              </w:numPr>
              <w:suppressAutoHyphens/>
              <w:ind w:left="349" w:hanging="142"/>
              <w:rPr>
                <w:b/>
                <w:sz w:val="22"/>
                <w:szCs w:val="22"/>
              </w:rPr>
            </w:pPr>
            <w:r w:rsidRPr="00C50013">
              <w:rPr>
                <w:sz w:val="22"/>
                <w:szCs w:val="22"/>
              </w:rPr>
              <w:t>Építőművészi munkáját társadalmilag, kulturálisan, ökológiailag érzékeny, tudatos és felelős tevékenység jellemzi.</w:t>
            </w:r>
          </w:p>
          <w:p w:rsidR="006E2B94" w:rsidRPr="00C50013" w:rsidRDefault="006E2B94" w:rsidP="006E2B94">
            <w:pPr>
              <w:pStyle w:val="Listaszerbekezds"/>
              <w:suppressAutoHyphens/>
              <w:ind w:left="349"/>
              <w:rPr>
                <w:b/>
                <w:sz w:val="22"/>
                <w:szCs w:val="22"/>
              </w:rPr>
            </w:pPr>
          </w:p>
        </w:tc>
      </w:tr>
    </w:tbl>
    <w:p w:rsidR="00A662E9" w:rsidRPr="00C2259B" w:rsidRDefault="00A662E9" w:rsidP="00A662E9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6"/>
      </w:tblGrid>
      <w:tr w:rsidR="00A662E9" w:rsidRPr="00BE16DC" w:rsidTr="001F3FFE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felelőse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 xml:space="preserve">: </w:t>
            </w:r>
            <w:r w:rsidR="00BD3F9B">
              <w:rPr>
                <w:b/>
                <w:sz w:val="22"/>
                <w:szCs w:val="22"/>
              </w:rPr>
              <w:t>Kovács-Andor Krisztián, egyetemi docens, DLA habil.</w:t>
            </w:r>
          </w:p>
        </w:tc>
      </w:tr>
      <w:tr w:rsidR="00A662E9" w:rsidRPr="00BE16DC" w:rsidTr="001F3FFE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662E9" w:rsidRPr="00BE16DC" w:rsidRDefault="00A662E9" w:rsidP="001F3FFE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b/>
                <w:sz w:val="22"/>
                <w:szCs w:val="22"/>
              </w:rPr>
              <w:t xml:space="preserve">Tantárgy oktatásába bevont oktató(k), </w:t>
            </w:r>
            <w:r w:rsidRPr="00BE16DC">
              <w:rPr>
                <w:sz w:val="22"/>
                <w:szCs w:val="22"/>
              </w:rPr>
              <w:t>ha van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BE16DC">
              <w:rPr>
                <w:sz w:val="22"/>
                <w:szCs w:val="22"/>
              </w:rPr>
              <w:t>nak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 xml:space="preserve"> </w:t>
            </w:r>
            <w:r w:rsidRPr="00BE16DC">
              <w:rPr>
                <w:sz w:val="22"/>
                <w:szCs w:val="22"/>
              </w:rPr>
              <w:t>(</w:t>
            </w:r>
            <w:r w:rsidRPr="00BE16DC">
              <w:rPr>
                <w:i/>
                <w:sz w:val="22"/>
                <w:szCs w:val="22"/>
              </w:rPr>
              <w:t>név, beosztás, tud. fokozat</w:t>
            </w:r>
            <w:r w:rsidRPr="00BE16DC">
              <w:rPr>
                <w:sz w:val="22"/>
                <w:szCs w:val="22"/>
              </w:rPr>
              <w:t>)</w:t>
            </w:r>
            <w:r w:rsidRPr="00BE16DC">
              <w:rPr>
                <w:b/>
                <w:sz w:val="22"/>
                <w:szCs w:val="22"/>
              </w:rPr>
              <w:t>:</w:t>
            </w:r>
            <w:r w:rsidR="00BD3F9B">
              <w:rPr>
                <w:b/>
                <w:sz w:val="22"/>
                <w:szCs w:val="22"/>
              </w:rPr>
              <w:t xml:space="preserve"> </w:t>
            </w:r>
            <w:r w:rsidR="00BD3F9B" w:rsidRPr="00BD3F9B">
              <w:rPr>
                <w:sz w:val="22"/>
                <w:szCs w:val="22"/>
              </w:rPr>
              <w:t>-</w:t>
            </w:r>
          </w:p>
        </w:tc>
      </w:tr>
    </w:tbl>
    <w:p w:rsidR="00590925" w:rsidRDefault="00590925"/>
    <w:sectPr w:rsidR="00590925" w:rsidSect="00244D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969" w:rsidRDefault="00013969" w:rsidP="00A662E9">
      <w:r>
        <w:separator/>
      </w:r>
    </w:p>
  </w:endnote>
  <w:endnote w:type="continuationSeparator" w:id="0">
    <w:p w:rsidR="00013969" w:rsidRDefault="00013969" w:rsidP="00A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félkövér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969" w:rsidRDefault="00013969" w:rsidP="00A662E9">
      <w:r>
        <w:separator/>
      </w:r>
    </w:p>
  </w:footnote>
  <w:footnote w:type="continuationSeparator" w:id="0">
    <w:p w:rsidR="00013969" w:rsidRDefault="00013969" w:rsidP="00A662E9">
      <w:r>
        <w:continuationSeparator/>
      </w:r>
    </w:p>
  </w:footnote>
  <w:footnote w:id="1">
    <w:p w:rsidR="00A662E9" w:rsidRPr="00A5216A" w:rsidRDefault="00A662E9" w:rsidP="00A662E9">
      <w:pPr>
        <w:pStyle w:val="Lbjegyzetszveg"/>
        <w:ind w:left="142" w:hanging="142"/>
        <w:rPr>
          <w:sz w:val="4"/>
          <w:szCs w:val="4"/>
        </w:rPr>
      </w:pPr>
    </w:p>
    <w:p w:rsidR="00A662E9" w:rsidRPr="0003723C" w:rsidRDefault="00A662E9" w:rsidP="00A662E9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A662E9" w:rsidRPr="0000385F" w:rsidRDefault="00A662E9" w:rsidP="00A662E9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:rsidR="00A662E9" w:rsidRPr="0000385F" w:rsidRDefault="00A662E9" w:rsidP="00A662E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:rsidR="00A662E9" w:rsidRPr="0000385F" w:rsidRDefault="00A662E9" w:rsidP="00A662E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635C3"/>
    <w:multiLevelType w:val="hybridMultilevel"/>
    <w:tmpl w:val="C2DE3E4E"/>
    <w:lvl w:ilvl="0" w:tplc="8AB6E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0EC5"/>
    <w:multiLevelType w:val="multilevel"/>
    <w:tmpl w:val="7D74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7C713E95"/>
    <w:multiLevelType w:val="hybridMultilevel"/>
    <w:tmpl w:val="AF749464"/>
    <w:lvl w:ilvl="0" w:tplc="139E157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E9"/>
    <w:rsid w:val="00013969"/>
    <w:rsid w:val="00244DB5"/>
    <w:rsid w:val="00280458"/>
    <w:rsid w:val="002931B9"/>
    <w:rsid w:val="002C00D3"/>
    <w:rsid w:val="00520707"/>
    <w:rsid w:val="00582F62"/>
    <w:rsid w:val="00590925"/>
    <w:rsid w:val="006E2B94"/>
    <w:rsid w:val="008A2335"/>
    <w:rsid w:val="009E43CA"/>
    <w:rsid w:val="00A662E9"/>
    <w:rsid w:val="00AD4BBD"/>
    <w:rsid w:val="00BD3F9B"/>
    <w:rsid w:val="00C50013"/>
    <w:rsid w:val="00C8128F"/>
    <w:rsid w:val="00CA3726"/>
    <w:rsid w:val="00D85AF8"/>
    <w:rsid w:val="00E17DAE"/>
    <w:rsid w:val="00E36E7F"/>
    <w:rsid w:val="00EB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2B4827FC-03E6-4B47-AB18-3F74DE1E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662E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662E9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662E9"/>
  </w:style>
  <w:style w:type="character" w:customStyle="1" w:styleId="LbjegyzetszvegChar">
    <w:name w:val="Lábjegyzetszöveg Char"/>
    <w:basedOn w:val="Bekezdsalapbettpusa"/>
    <w:link w:val="Lbjegyzetszveg"/>
    <w:semiHidden/>
    <w:rsid w:val="00A662E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001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931B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44D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chopen.com/books/archaeology-new-approaches-in-theory-and-techniques/heritage-protection-in-p-cs-sopian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Krisztián Kovács-Andor</cp:lastModifiedBy>
  <cp:revision>2</cp:revision>
  <dcterms:created xsi:type="dcterms:W3CDTF">2019-01-30T09:58:00Z</dcterms:created>
  <dcterms:modified xsi:type="dcterms:W3CDTF">2019-01-30T09:58:00Z</dcterms:modified>
</cp:coreProperties>
</file>