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48F7FE88" w:rsidR="003A23E0" w:rsidRPr="00290E30" w:rsidRDefault="003A23E0" w:rsidP="000A37C1">
      <w:pPr>
        <w:pStyle w:val="Heading1"/>
      </w:pPr>
      <w:r w:rsidRPr="00290E30">
        <w:t>Tantárgy</w:t>
      </w:r>
      <w:r w:rsidR="009132BE" w:rsidRPr="00290E30">
        <w:t>i</w:t>
      </w:r>
      <w:r w:rsidRPr="00290E30">
        <w:t xml:space="preserve"> tematika és teljesítés</w:t>
      </w:r>
      <w:r w:rsidR="00BF0F08" w:rsidRPr="00290E30">
        <w:t>i</w:t>
      </w:r>
      <w:r w:rsidRPr="00290E30">
        <w:t xml:space="preserve"> követelménye</w:t>
      </w:r>
      <w:r w:rsidR="00BF0F08" w:rsidRPr="00290E30">
        <w:t>k</w:t>
      </w:r>
      <w:r w:rsidR="002F61F2" w:rsidRPr="00290E30">
        <w:t xml:space="preserve"> </w:t>
      </w:r>
      <w:r w:rsidR="00E34CFC" w:rsidRPr="00290E30">
        <w:br/>
      </w:r>
      <w:r w:rsidR="00C87416">
        <w:t xml:space="preserve">2019/2020. </w:t>
      </w:r>
      <w:r w:rsidRPr="00290E30">
        <w:t>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277"/>
        <w:gridCol w:w="5237"/>
      </w:tblGrid>
      <w:tr w:rsidR="00AD4BC7" w:rsidRPr="00290E30" w14:paraId="1B01C61F" w14:textId="77777777" w:rsidTr="00290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8" w:type="pct"/>
          </w:tcPr>
          <w:p w14:paraId="1B01C61D" w14:textId="77BE9176" w:rsidR="00AD4BC7" w:rsidRPr="00290E30" w:rsidRDefault="00290E30" w:rsidP="00290E30">
            <w:pPr>
              <w:jc w:val="left"/>
              <w:rPr>
                <w:rFonts w:asciiTheme="majorHAnsi" w:hAnsiTheme="majorHAnsi"/>
                <w:b w:val="0"/>
              </w:rPr>
            </w:pPr>
            <w:r w:rsidRPr="00290E30">
              <w:rPr>
                <w:rFonts w:asciiTheme="majorHAnsi" w:hAnsiTheme="majorHAnsi"/>
              </w:rPr>
              <w:t>Angol építész- építőmérnöki szaknyelv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752" w:type="pct"/>
          </w:tcPr>
          <w:p w14:paraId="7D9EB448" w14:textId="48E12A5C" w:rsidR="000F0647" w:rsidRPr="000F0647" w:rsidRDefault="000F0647" w:rsidP="000F0647">
            <w:pPr>
              <w:spacing w:after="200" w:line="276" w:lineRule="auto"/>
              <w:contextualSpacing/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Kedd 15.00 – 16.30</w:t>
            </w:r>
            <w:r w:rsidRPr="000F0647"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A305</w:t>
            </w:r>
          </w:p>
          <w:p w14:paraId="1B01C61E" w14:textId="54C9BB9B" w:rsidR="00AD4BC7" w:rsidRPr="00290E30" w:rsidRDefault="000F0647" w:rsidP="000F064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Szerda 15.00 – 16.30</w:t>
            </w:r>
            <w:r w:rsidRPr="000F0647"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A216</w:t>
            </w:r>
          </w:p>
        </w:tc>
      </w:tr>
      <w:tr w:rsidR="00AD4BC7" w:rsidRPr="00290E30" w14:paraId="1B01C622" w14:textId="77777777" w:rsidTr="0029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20" w14:textId="2FA6DB30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21" w14:textId="3675CA5F" w:rsidR="00AD4BC7" w:rsidRPr="00290E30" w:rsidRDefault="0082539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290E30"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002MN</w:t>
            </w:r>
          </w:p>
        </w:tc>
      </w:tr>
      <w:tr w:rsidR="00AD4BC7" w:rsidRPr="00290E30" w14:paraId="1B01C625" w14:textId="77777777" w:rsidTr="0029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23" w14:textId="14E4C507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Heti óraszá</w:t>
            </w:r>
            <w:r w:rsidR="003A57DC" w:rsidRPr="00290E30">
              <w:rPr>
                <w:rFonts w:asciiTheme="majorHAnsi" w:hAnsiTheme="majorHAnsi"/>
                <w:b/>
              </w:rPr>
              <w:t>m</w:t>
            </w:r>
            <w:r w:rsidRPr="00290E30">
              <w:rPr>
                <w:rFonts w:asciiTheme="majorHAnsi" w:hAnsiTheme="majorHAnsi"/>
                <w:b/>
              </w:rPr>
              <w:t>:</w:t>
            </w:r>
            <w:r w:rsidR="007910A3" w:rsidRPr="00290E30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24" w14:textId="2810B1D3" w:rsidR="00AD4BC7" w:rsidRPr="00290E30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290E30" w14:paraId="1B01C628" w14:textId="77777777" w:rsidTr="0029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26" w14:textId="323ED60F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27" w14:textId="73CECFED" w:rsidR="00AD4BC7" w:rsidRPr="00290E30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290E30" w14:paraId="1B01C62B" w14:textId="77777777" w:rsidTr="0029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29" w14:textId="4C2B3FE3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2A" w14:textId="45416930" w:rsidR="00AD4BC7" w:rsidRPr="00290E30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290E30" w14:paraId="1B01C62E" w14:textId="77777777" w:rsidTr="0029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2C" w14:textId="7F14974C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2D" w14:textId="1065553C" w:rsidR="00AD4BC7" w:rsidRPr="00290E30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290E30" w14:paraId="1B01C631" w14:textId="77777777" w:rsidTr="0029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2F" w14:textId="49C41B3B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30" w14:textId="77186845" w:rsidR="00AD4BC7" w:rsidRPr="00290E30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290E30" w14:paraId="1B01C634" w14:textId="77777777" w:rsidTr="0029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32" w14:textId="656EAF70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33" w14:textId="30135CFA" w:rsidR="00AD4BC7" w:rsidRPr="00290E30" w:rsidRDefault="00C87416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</w:t>
            </w:r>
          </w:p>
        </w:tc>
      </w:tr>
      <w:tr w:rsidR="00AD4BC7" w:rsidRPr="00290E30" w14:paraId="1B01C637" w14:textId="77777777" w:rsidTr="0029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35" w14:textId="624D3693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36" w14:textId="7F373440" w:rsidR="00AD4BC7" w:rsidRPr="00290E30" w:rsidRDefault="00290E30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Középfokú nyelvtudás</w:t>
            </w:r>
          </w:p>
        </w:tc>
      </w:tr>
      <w:tr w:rsidR="00AD4BC7" w:rsidRPr="00290E30" w14:paraId="1B01C63A" w14:textId="77777777" w:rsidTr="0029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38" w14:textId="6B121A14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39" w14:textId="04D3AECF" w:rsidR="00AD4BC7" w:rsidRPr="00290E30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290E30" w14:paraId="1B01C63D" w14:textId="77777777" w:rsidTr="0029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3B" w14:textId="67031829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Tárgyfelelős</w:t>
            </w:r>
            <w:r w:rsidR="00A72E36" w:rsidRPr="00290E30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3C" w14:textId="637A4042" w:rsidR="00AD4BC7" w:rsidRPr="00290E30" w:rsidRDefault="00290E30" w:rsidP="001233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sz w:val="24"/>
                <w:szCs w:val="24"/>
              </w:rPr>
              <w:t>Török Júlia</w:t>
            </w:r>
          </w:p>
        </w:tc>
      </w:tr>
      <w:tr w:rsidR="006643D3" w:rsidRPr="00290E30" w14:paraId="1B01C640" w14:textId="77777777" w:rsidTr="00290E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48" w:type="pct"/>
          </w:tcPr>
          <w:p w14:paraId="1B01C63E" w14:textId="095D6AA4" w:rsidR="006643D3" w:rsidRPr="00290E30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752" w:type="pct"/>
          </w:tcPr>
          <w:p w14:paraId="1B01C63F" w14:textId="77777777" w:rsidR="006643D3" w:rsidRPr="00290E30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Pr="00290E30" w:rsidRDefault="00AD4BC7"/>
    <w:p w14:paraId="5E154A5F" w14:textId="72531C74" w:rsidR="009B4F16" w:rsidRPr="00290E30" w:rsidRDefault="009B4F16" w:rsidP="000A37C1">
      <w:pPr>
        <w:pStyle w:val="Heading2"/>
        <w:rPr>
          <w:rFonts w:ascii="Times New Roman" w:hAnsi="Times New Roman"/>
          <w:sz w:val="20"/>
        </w:rPr>
      </w:pPr>
      <w:r w:rsidRPr="00290E30">
        <w:t>Tantárgy célkitűzése</w:t>
      </w:r>
    </w:p>
    <w:p w14:paraId="456BE7EB" w14:textId="769D95B5" w:rsidR="009B4F16" w:rsidRPr="00290E30" w:rsidRDefault="00290E30" w:rsidP="00FD7174">
      <w:pPr>
        <w:jc w:val="both"/>
      </w:pPr>
      <w:r w:rsidRPr="00290E30">
        <w:t xml:space="preserve">A tantárgy </w:t>
      </w:r>
      <w:r>
        <w:t>olyan építész- illetve építőmérnök hallgatóknak ajánlott, akik már legalább középfokú szinten beszélik az angol nyelvet. A tárgy célja, hogy felkészítse a hallgatóka</w:t>
      </w:r>
      <w:r w:rsidR="00FD7174">
        <w:t>t arra, hogy képesek legyenek angol nyelvű szakirodalmat feldolgozni</w:t>
      </w:r>
      <w:r>
        <w:t>, ango</w:t>
      </w:r>
      <w:r w:rsidR="00FD7174">
        <w:t xml:space="preserve">l nyelvű előadásokat megérteni, illetve szóban vagy írásban szakterületükhöz tartozó témákat megvitatni akár magyarországi képzésük vagy ösztöndíjas külföldi tanulmányaik folyamán akár későbbi szakmai munkájuk során. </w:t>
      </w:r>
    </w:p>
    <w:p w14:paraId="57AD0700" w14:textId="7F31F2F6" w:rsidR="009B4F16" w:rsidRPr="00290E30" w:rsidRDefault="009B4F16" w:rsidP="000A37C1">
      <w:pPr>
        <w:pStyle w:val="Heading2"/>
      </w:pPr>
      <w:r w:rsidRPr="00290E30">
        <w:t xml:space="preserve">Tartalma  </w:t>
      </w:r>
    </w:p>
    <w:p w14:paraId="434C92ED" w14:textId="77777777" w:rsidR="00E1516D" w:rsidRPr="00290E30" w:rsidRDefault="009B4F16" w:rsidP="00E1516D">
      <w:pPr>
        <w:spacing w:before="120" w:after="120"/>
      </w:pPr>
      <w:r w:rsidRPr="00290E30">
        <w:rPr>
          <w:i/>
        </w:rPr>
        <w:t>Rövid leírás</w:t>
      </w:r>
      <w:r w:rsidRPr="00290E30">
        <w:t>:</w:t>
      </w:r>
      <w:r w:rsidR="004C0BB9" w:rsidRPr="00290E30">
        <w:t xml:space="preserve"> </w:t>
      </w:r>
    </w:p>
    <w:p w14:paraId="4576E38E" w14:textId="73449B39" w:rsidR="00825398" w:rsidRPr="00290E30" w:rsidRDefault="000C373C" w:rsidP="000C373C">
      <w:pPr>
        <w:spacing w:after="120"/>
        <w:jc w:val="both"/>
      </w:pPr>
      <w:r w:rsidRPr="000C373C">
        <w:t>Szakmai szókincs fejleszt</w:t>
      </w:r>
      <w:r>
        <w:t xml:space="preserve">ése </w:t>
      </w:r>
      <w:r w:rsidRPr="000C373C">
        <w:t>autentikus szövegek feldolgozásával (olvasott és hallott s</w:t>
      </w:r>
      <w:r w:rsidR="00FC2484">
        <w:t>zövegértési feladatok, vita</w:t>
      </w:r>
      <w:r>
        <w:t>,</w:t>
      </w:r>
      <w:r w:rsidR="00FC2484">
        <w:t xml:space="preserve"> érvelés</w:t>
      </w:r>
      <w:r>
        <w:t xml:space="preserve"> önálló témakifejtés). V</w:t>
      </w:r>
      <w:r w:rsidRPr="000C373C">
        <w:t>álasztott szakmai témában prezentáció készítése. A szakmára jellemző kommunikációs szituációkhoz szükséges készségek fejlesztése. A kurzus témakörei szorosan kapcsolódnak a szakokon oktatott tudományterületekhez.</w:t>
      </w:r>
    </w:p>
    <w:p w14:paraId="750775DA" w14:textId="5C305698" w:rsidR="009B4F16" w:rsidRPr="00290E30" w:rsidRDefault="009B4F16" w:rsidP="00E1516D">
      <w:pPr>
        <w:spacing w:after="120"/>
        <w:rPr>
          <w:i/>
        </w:rPr>
      </w:pPr>
      <w:r w:rsidRPr="00290E30">
        <w:rPr>
          <w:i/>
        </w:rPr>
        <w:t>Témakörök:</w:t>
      </w:r>
    </w:p>
    <w:p w14:paraId="543BB688" w14:textId="77777777" w:rsidR="00C87416" w:rsidRPr="00C87416" w:rsidRDefault="00C87416" w:rsidP="00C87416">
      <w:pPr>
        <w:contextualSpacing/>
      </w:pPr>
      <w:r w:rsidRPr="00C87416">
        <w:t>Week 1</w:t>
      </w:r>
      <w:r w:rsidRPr="00C87416">
        <w:tab/>
      </w:r>
      <w:r w:rsidRPr="00C87416">
        <w:tab/>
        <w:t>Orientation</w:t>
      </w:r>
    </w:p>
    <w:p w14:paraId="11D66FF4" w14:textId="77777777" w:rsidR="00C87416" w:rsidRPr="00C87416" w:rsidRDefault="00C87416" w:rsidP="00C87416">
      <w:pPr>
        <w:contextualSpacing/>
      </w:pPr>
      <w:r w:rsidRPr="00C87416">
        <w:t>Week 2</w:t>
      </w:r>
      <w:r w:rsidRPr="00C87416">
        <w:tab/>
      </w:r>
      <w:r w:rsidRPr="00C87416">
        <w:tab/>
        <w:t>Professions related to architecture and civil engineering</w:t>
      </w:r>
    </w:p>
    <w:p w14:paraId="6A91905F" w14:textId="77777777" w:rsidR="00C87416" w:rsidRPr="00C87416" w:rsidRDefault="00C87416" w:rsidP="00C87416">
      <w:pPr>
        <w:ind w:left="1068" w:firstLine="348"/>
        <w:contextualSpacing/>
      </w:pPr>
      <w:r w:rsidRPr="00C87416">
        <w:t>Services provided by architectural and construction companies</w:t>
      </w:r>
    </w:p>
    <w:p w14:paraId="6D5C7735" w14:textId="77777777" w:rsidR="00C87416" w:rsidRPr="00C87416" w:rsidRDefault="00C87416" w:rsidP="00C87416">
      <w:pPr>
        <w:contextualSpacing/>
      </w:pPr>
      <w:r w:rsidRPr="00C87416">
        <w:t>Week 3</w:t>
      </w:r>
      <w:r w:rsidRPr="00C87416">
        <w:tab/>
      </w:r>
      <w:r w:rsidRPr="00C87416">
        <w:tab/>
        <w:t xml:space="preserve">Landscape design </w:t>
      </w:r>
    </w:p>
    <w:p w14:paraId="0F561F46" w14:textId="77777777" w:rsidR="00C87416" w:rsidRPr="00C87416" w:rsidRDefault="00C87416" w:rsidP="00C87416">
      <w:pPr>
        <w:contextualSpacing/>
      </w:pPr>
      <w:r w:rsidRPr="00C87416">
        <w:t>Week 4</w:t>
      </w:r>
      <w:r w:rsidRPr="00C87416">
        <w:tab/>
      </w:r>
      <w:r w:rsidRPr="00C87416">
        <w:tab/>
        <w:t>Urban planning</w:t>
      </w:r>
    </w:p>
    <w:p w14:paraId="75FA6D02" w14:textId="77777777" w:rsidR="00C87416" w:rsidRPr="00C87416" w:rsidRDefault="00C87416" w:rsidP="00C87416">
      <w:pPr>
        <w:contextualSpacing/>
      </w:pPr>
      <w:r w:rsidRPr="00C87416">
        <w:lastRenderedPageBreak/>
        <w:t>Week 5</w:t>
      </w:r>
      <w:r w:rsidRPr="00C87416">
        <w:tab/>
      </w:r>
      <w:r w:rsidRPr="00C87416">
        <w:tab/>
        <w:t>Traditional and modern building materials</w:t>
      </w:r>
    </w:p>
    <w:p w14:paraId="2334E8DA" w14:textId="77777777" w:rsidR="00C87416" w:rsidRPr="00C87416" w:rsidRDefault="00C87416" w:rsidP="00C87416">
      <w:pPr>
        <w:contextualSpacing/>
      </w:pPr>
      <w:r w:rsidRPr="00C87416">
        <w:t>Week 6</w:t>
      </w:r>
      <w:r w:rsidRPr="00C87416">
        <w:tab/>
      </w:r>
      <w:r w:rsidRPr="00C87416">
        <w:tab/>
        <w:t>Building elements and structures</w:t>
      </w:r>
    </w:p>
    <w:p w14:paraId="3FD5C83D" w14:textId="060CD095" w:rsidR="00C87416" w:rsidRPr="00C87416" w:rsidRDefault="00C87416" w:rsidP="00C87416">
      <w:pPr>
        <w:contextualSpacing/>
      </w:pPr>
      <w:r w:rsidRPr="00C87416">
        <w:t>Week 7</w:t>
      </w:r>
      <w:r w:rsidRPr="00C87416">
        <w:tab/>
      </w:r>
      <w:r w:rsidRPr="00C87416">
        <w:tab/>
        <w:t>Sustainable architecture</w:t>
      </w:r>
      <w:r>
        <w:t xml:space="preserve"> (szerdai csoport: zárthelyi dolgozat)</w:t>
      </w:r>
    </w:p>
    <w:p w14:paraId="076FAC39" w14:textId="2C1EF950" w:rsidR="00C87416" w:rsidRPr="00C87416" w:rsidRDefault="00C87416" w:rsidP="00C87416">
      <w:pPr>
        <w:contextualSpacing/>
      </w:pPr>
      <w:r w:rsidRPr="00C87416">
        <w:t>Week 8</w:t>
      </w:r>
      <w:r w:rsidRPr="00C87416">
        <w:tab/>
      </w:r>
      <w:r w:rsidRPr="00C87416">
        <w:tab/>
        <w:t>Midterm test</w:t>
      </w:r>
      <w:r>
        <w:t xml:space="preserve"> (szerdai csoport: okt. 23. nemzeti ünnep)</w:t>
      </w:r>
      <w:bookmarkStart w:id="0" w:name="_GoBack"/>
      <w:bookmarkEnd w:id="0"/>
    </w:p>
    <w:p w14:paraId="622EB4F0" w14:textId="77777777" w:rsidR="00C87416" w:rsidRPr="00C87416" w:rsidRDefault="00C87416" w:rsidP="00C87416">
      <w:pPr>
        <w:contextualSpacing/>
      </w:pPr>
      <w:r w:rsidRPr="00C87416">
        <w:t>Week 9</w:t>
      </w:r>
      <w:r w:rsidRPr="00C87416">
        <w:tab/>
      </w:r>
      <w:r w:rsidRPr="00C87416">
        <w:tab/>
        <w:t>Autumn break</w:t>
      </w:r>
    </w:p>
    <w:p w14:paraId="34E037CD" w14:textId="77777777" w:rsidR="00C87416" w:rsidRPr="00C87416" w:rsidRDefault="00C87416" w:rsidP="00C87416">
      <w:pPr>
        <w:contextualSpacing/>
      </w:pPr>
      <w:r w:rsidRPr="00C87416">
        <w:t>Week 10</w:t>
      </w:r>
      <w:r w:rsidRPr="00C87416">
        <w:tab/>
        <w:t>Built heritage</w:t>
      </w:r>
    </w:p>
    <w:p w14:paraId="18C97A6F" w14:textId="77777777" w:rsidR="00C87416" w:rsidRPr="00C87416" w:rsidRDefault="00C87416" w:rsidP="00C87416">
      <w:pPr>
        <w:contextualSpacing/>
      </w:pPr>
      <w:r w:rsidRPr="00C87416">
        <w:t>Week 11</w:t>
      </w:r>
      <w:r w:rsidRPr="00C87416">
        <w:tab/>
        <w:t>Bridges</w:t>
      </w:r>
    </w:p>
    <w:p w14:paraId="046AA854" w14:textId="77777777" w:rsidR="00C87416" w:rsidRPr="00C87416" w:rsidRDefault="00C87416" w:rsidP="00C87416">
      <w:pPr>
        <w:contextualSpacing/>
      </w:pPr>
      <w:r w:rsidRPr="00C87416">
        <w:t>Week 12</w:t>
      </w:r>
      <w:r w:rsidRPr="00C87416">
        <w:tab/>
        <w:t>Design and construction failures</w:t>
      </w:r>
    </w:p>
    <w:p w14:paraId="0AC8543E" w14:textId="77777777" w:rsidR="00C87416" w:rsidRPr="00C87416" w:rsidRDefault="00C87416" w:rsidP="00C87416">
      <w:pPr>
        <w:contextualSpacing/>
      </w:pPr>
      <w:r w:rsidRPr="00C87416">
        <w:t>Week 13</w:t>
      </w:r>
      <w:r w:rsidRPr="00C87416">
        <w:tab/>
        <w:t>Controversial urban architecture</w:t>
      </w:r>
    </w:p>
    <w:p w14:paraId="42548B11" w14:textId="77777777" w:rsidR="00C87416" w:rsidRPr="00C87416" w:rsidRDefault="00C87416" w:rsidP="00C87416">
      <w:pPr>
        <w:contextualSpacing/>
      </w:pPr>
      <w:r w:rsidRPr="00C87416">
        <w:t>Week 14</w:t>
      </w:r>
      <w:r w:rsidRPr="00C87416">
        <w:tab/>
        <w:t>Presentations</w:t>
      </w:r>
    </w:p>
    <w:p w14:paraId="4067DC06" w14:textId="77777777" w:rsidR="00C87416" w:rsidRPr="00C87416" w:rsidRDefault="00C87416" w:rsidP="00C87416">
      <w:pPr>
        <w:contextualSpacing/>
      </w:pPr>
      <w:r w:rsidRPr="00C87416">
        <w:t>Week 15</w:t>
      </w:r>
      <w:r w:rsidRPr="00C87416">
        <w:tab/>
        <w:t>Presentations</w:t>
      </w:r>
    </w:p>
    <w:p w14:paraId="23C91BA5" w14:textId="5D07E86E" w:rsidR="009B4F16" w:rsidRPr="00290E30" w:rsidRDefault="009B4F16" w:rsidP="000A37C1">
      <w:pPr>
        <w:pStyle w:val="Heading2"/>
        <w:rPr>
          <w:rFonts w:asciiTheme="majorHAnsi" w:hAnsiTheme="majorHAnsi"/>
          <w:sz w:val="24"/>
          <w:szCs w:val="24"/>
        </w:rPr>
      </w:pPr>
      <w:r w:rsidRPr="00290E30">
        <w:t xml:space="preserve">Számonkérési és értékelési rendszere </w:t>
      </w:r>
    </w:p>
    <w:p w14:paraId="753642EF" w14:textId="77777777" w:rsidR="009B4F16" w:rsidRPr="00290E30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290E30">
        <w:rPr>
          <w:rFonts w:asciiTheme="majorHAnsi" w:hAnsiTheme="majorHAnsi"/>
          <w:i/>
          <w:sz w:val="24"/>
          <w:szCs w:val="24"/>
        </w:rPr>
        <w:t>Részvétel:</w:t>
      </w:r>
      <w:r w:rsidRPr="00290E30">
        <w:rPr>
          <w:rFonts w:asciiTheme="majorHAnsi" w:hAnsiTheme="majorHAnsi"/>
          <w:sz w:val="24"/>
          <w:szCs w:val="24"/>
        </w:rPr>
        <w:t xml:space="preserve"> </w:t>
      </w:r>
    </w:p>
    <w:p w14:paraId="0456F158" w14:textId="77777777" w:rsidR="00123387" w:rsidRPr="00290E30" w:rsidRDefault="004C0BB9" w:rsidP="00E87B71">
      <w:pPr>
        <w:jc w:val="both"/>
      </w:pPr>
      <w:r w:rsidRPr="00290E30">
        <w:t>A gyakorlatokon való, TVSZ előírása (45.§ (2)) szerinti részvétel.</w:t>
      </w:r>
      <w:r w:rsidR="00123387" w:rsidRPr="00290E30">
        <w:t xml:space="preserve"> A hiányzások száma nem haladhatja meg az órák számának 30%-át.</w:t>
      </w:r>
    </w:p>
    <w:p w14:paraId="6E932333" w14:textId="77777777" w:rsidR="009B4F16" w:rsidRPr="00290E30" w:rsidRDefault="009B4F16" w:rsidP="00E87B71">
      <w:pPr>
        <w:widowControl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290E30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290E30">
        <w:rPr>
          <w:rFonts w:asciiTheme="majorHAnsi" w:hAnsiTheme="majorHAnsi"/>
          <w:sz w:val="24"/>
          <w:szCs w:val="24"/>
        </w:rPr>
        <w:t>:</w:t>
      </w:r>
    </w:p>
    <w:p w14:paraId="2129CDD7" w14:textId="0BD27871" w:rsidR="002F2461" w:rsidRPr="00290E30" w:rsidRDefault="002F2461" w:rsidP="00E87B71">
      <w:pPr>
        <w:widowControl w:val="0"/>
        <w:jc w:val="both"/>
      </w:pPr>
      <w:r w:rsidRPr="00290E30">
        <w:t xml:space="preserve">Az aláírás feltétele a prezentáció szorgalmi időszakban történő bemutatása (vizsgaidőszakban nem pótolható), valamint a zárthelyi dolgozat </w:t>
      </w:r>
      <w:r w:rsidR="00412340" w:rsidRPr="00290E30">
        <w:t xml:space="preserve">minimum 50%-os </w:t>
      </w:r>
      <w:r w:rsidRPr="00290E30">
        <w:t xml:space="preserve">teljesítése. Eredményközlés 14 napon belül. </w:t>
      </w:r>
    </w:p>
    <w:p w14:paraId="1CC772F8" w14:textId="3CFD3C08" w:rsidR="00E1311F" w:rsidRPr="00290E30" w:rsidRDefault="00E1311F" w:rsidP="00E87B71">
      <w:pPr>
        <w:widowControl w:val="0"/>
        <w:jc w:val="both"/>
      </w:pPr>
      <w:r w:rsidRPr="00290E30">
        <w:t>A gyakorlatokon való részvétel nem pótolható. A zárthelyi dolgozat egy alkalommal javítható, illetve pótolható. A javító dolgoz</w:t>
      </w:r>
      <w:r w:rsidR="00E87B71">
        <w:t>atok esetében mindig a második (javító)</w:t>
      </w:r>
      <w:r w:rsidRPr="00290E30">
        <w:t xml:space="preserve"> dolgozat</w:t>
      </w:r>
      <w:r w:rsidR="00E87B71">
        <w:t xml:space="preserve"> eredményét vesszük figyelembe (</w:t>
      </w:r>
      <w:r w:rsidRPr="00290E30">
        <w:t>azaz a javító dolgozatok megírásával rontani is lehet</w:t>
      </w:r>
      <w:r w:rsidR="00E87B71">
        <w:t>)</w:t>
      </w:r>
      <w:r w:rsidRPr="00290E30">
        <w:t>.</w:t>
      </w:r>
    </w:p>
    <w:p w14:paraId="4588984A" w14:textId="77777777" w:rsidR="009B4F16" w:rsidRPr="00290E30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290E30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290E30">
        <w:rPr>
          <w:rFonts w:asciiTheme="majorHAnsi" w:hAnsiTheme="majorHAnsi"/>
          <w:sz w:val="24"/>
          <w:szCs w:val="24"/>
        </w:rPr>
        <w:t>:</w:t>
      </w:r>
    </w:p>
    <w:p w14:paraId="4C035463" w14:textId="77777777" w:rsidR="00412340" w:rsidRPr="00290E30" w:rsidRDefault="00412340" w:rsidP="00412340">
      <w:pPr>
        <w:widowControl w:val="0"/>
        <w:spacing w:before="0" w:after="0"/>
      </w:pPr>
      <w:r w:rsidRPr="00290E30">
        <w:t>85 – 100%    5</w:t>
      </w:r>
    </w:p>
    <w:p w14:paraId="36C92E1C" w14:textId="77777777" w:rsidR="00412340" w:rsidRPr="00290E30" w:rsidRDefault="00412340" w:rsidP="00412340">
      <w:pPr>
        <w:widowControl w:val="0"/>
        <w:spacing w:before="0" w:after="0"/>
      </w:pPr>
      <w:r w:rsidRPr="00290E30">
        <w:t>76 – 84%      4</w:t>
      </w:r>
    </w:p>
    <w:p w14:paraId="5EFAC156" w14:textId="77777777" w:rsidR="00412340" w:rsidRPr="00290E30" w:rsidRDefault="00412340" w:rsidP="00412340">
      <w:pPr>
        <w:widowControl w:val="0"/>
        <w:spacing w:before="0" w:after="0"/>
      </w:pPr>
      <w:r w:rsidRPr="00290E30">
        <w:t>61 – 75%      3</w:t>
      </w:r>
    </w:p>
    <w:p w14:paraId="54D7DFED" w14:textId="77777777" w:rsidR="00412340" w:rsidRPr="00290E30" w:rsidRDefault="00412340" w:rsidP="00412340">
      <w:pPr>
        <w:widowControl w:val="0"/>
        <w:spacing w:before="0" w:after="0"/>
      </w:pPr>
      <w:r w:rsidRPr="00290E30">
        <w:t>50 – 60%      2</w:t>
      </w:r>
    </w:p>
    <w:p w14:paraId="079A4539" w14:textId="238C56D3" w:rsidR="008518CE" w:rsidRDefault="00412340" w:rsidP="00412340">
      <w:pPr>
        <w:widowControl w:val="0"/>
        <w:spacing w:before="0" w:after="0"/>
      </w:pPr>
      <w:r w:rsidRPr="00290E30">
        <w:t>0 – 49%        1 </w:t>
      </w:r>
      <w:r w:rsidR="004C0BB9" w:rsidRPr="00290E30">
        <w:t xml:space="preserve"> </w:t>
      </w:r>
    </w:p>
    <w:p w14:paraId="59EB9932" w14:textId="5F7F75FD" w:rsidR="008518CE" w:rsidRDefault="008518CE" w:rsidP="00412340">
      <w:pPr>
        <w:widowControl w:val="0"/>
        <w:spacing w:before="0" w:after="0"/>
      </w:pPr>
    </w:p>
    <w:p w14:paraId="37DE6378" w14:textId="5F695CA1" w:rsidR="008518CE" w:rsidRPr="00290E30" w:rsidRDefault="008518CE" w:rsidP="00412340">
      <w:pPr>
        <w:widowControl w:val="0"/>
        <w:spacing w:before="0" w:after="0"/>
      </w:pPr>
      <w:r>
        <w:t>A félévközi jegy számítása: 40% zárthelyi dolgozat, 40% prezentáció, 20% órai munka</w:t>
      </w:r>
    </w:p>
    <w:p w14:paraId="3C1311BE" w14:textId="77777777" w:rsidR="009B4F16" w:rsidRPr="00290E30" w:rsidRDefault="009B4F16" w:rsidP="000A37C1">
      <w:pPr>
        <w:pStyle w:val="Heading2"/>
      </w:pPr>
      <w:r w:rsidRPr="00290E30">
        <w:t>Kötelező és ajánlott irodalom</w:t>
      </w:r>
    </w:p>
    <w:p w14:paraId="166BD052" w14:textId="614C01C2" w:rsidR="004C0BB9" w:rsidRPr="00290E30" w:rsidRDefault="00E87B71" w:rsidP="004C0BB9">
      <w:pPr>
        <w:pStyle w:val="ListParagraph"/>
        <w:numPr>
          <w:ilvl w:val="0"/>
          <w:numId w:val="2"/>
        </w:numPr>
        <w:suppressAutoHyphens/>
        <w:ind w:right="-108"/>
        <w:rPr>
          <w:bCs/>
          <w:sz w:val="22"/>
          <w:szCs w:val="22"/>
        </w:rPr>
      </w:pPr>
      <w:r>
        <w:rPr>
          <w:bCs/>
          <w:sz w:val="22"/>
          <w:szCs w:val="22"/>
        </w:rPr>
        <w:t>Török Júlia: English for Architecture and Civil Engineering (PDF)</w:t>
      </w:r>
    </w:p>
    <w:p w14:paraId="1B01C7D4" w14:textId="7143403A" w:rsidR="00654D13" w:rsidRPr="00290E30" w:rsidRDefault="00E87B71" w:rsidP="00046D42">
      <w:pPr>
        <w:pStyle w:val="ListParagraph"/>
        <w:numPr>
          <w:ilvl w:val="0"/>
          <w:numId w:val="2"/>
        </w:numPr>
      </w:pPr>
      <w:r w:rsidRPr="00C60847">
        <w:rPr>
          <w:sz w:val="22"/>
          <w:szCs w:val="22"/>
        </w:rPr>
        <w:t>A kurzushoz tartozó Neptun mappába feltöltött tananyagok</w:t>
      </w:r>
    </w:p>
    <w:sectPr w:rsidR="00654D13" w:rsidRPr="00290E30" w:rsidSect="00C60847">
      <w:footerReference w:type="default" r:id="rId7"/>
      <w:pgSz w:w="11906" w:h="16838"/>
      <w:pgMar w:top="1417" w:right="993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94D00" w14:textId="77777777" w:rsidR="007B6969" w:rsidRDefault="007B6969" w:rsidP="00AD4BC7">
      <w:pPr>
        <w:spacing w:after="0" w:line="240" w:lineRule="auto"/>
      </w:pPr>
      <w:r>
        <w:separator/>
      </w:r>
    </w:p>
  </w:endnote>
  <w:endnote w:type="continuationSeparator" w:id="0">
    <w:p w14:paraId="0799ABF3" w14:textId="77777777" w:rsidR="007B6969" w:rsidRDefault="007B6969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386917"/>
      <w:docPartObj>
        <w:docPartGallery w:val="Page Numbers (Bottom of Page)"/>
        <w:docPartUnique/>
      </w:docPartObj>
    </w:sdtPr>
    <w:sdtEndPr/>
    <w:sdtContent>
      <w:p w14:paraId="1B01C7D9" w14:textId="1E085D3E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1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BBB6B" w14:textId="77777777" w:rsidR="007B6969" w:rsidRDefault="007B6969" w:rsidP="00AD4BC7">
      <w:pPr>
        <w:spacing w:after="0" w:line="240" w:lineRule="auto"/>
      </w:pPr>
      <w:r>
        <w:separator/>
      </w:r>
    </w:p>
  </w:footnote>
  <w:footnote w:type="continuationSeparator" w:id="0">
    <w:p w14:paraId="454927F7" w14:textId="77777777" w:rsidR="007B6969" w:rsidRDefault="007B6969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C373C"/>
    <w:rsid w:val="000D5865"/>
    <w:rsid w:val="000F0177"/>
    <w:rsid w:val="000F0647"/>
    <w:rsid w:val="000F6A91"/>
    <w:rsid w:val="00117AF0"/>
    <w:rsid w:val="00120708"/>
    <w:rsid w:val="00123387"/>
    <w:rsid w:val="00123E52"/>
    <w:rsid w:val="00127634"/>
    <w:rsid w:val="00143BAC"/>
    <w:rsid w:val="00183256"/>
    <w:rsid w:val="001B050E"/>
    <w:rsid w:val="001B57F9"/>
    <w:rsid w:val="00252242"/>
    <w:rsid w:val="00261943"/>
    <w:rsid w:val="00290E30"/>
    <w:rsid w:val="00297BEF"/>
    <w:rsid w:val="002A5D34"/>
    <w:rsid w:val="002C33DD"/>
    <w:rsid w:val="002F03A1"/>
    <w:rsid w:val="002F1B63"/>
    <w:rsid w:val="002F2461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12340"/>
    <w:rsid w:val="00422F53"/>
    <w:rsid w:val="0044290E"/>
    <w:rsid w:val="00445928"/>
    <w:rsid w:val="004549A6"/>
    <w:rsid w:val="004C0BB9"/>
    <w:rsid w:val="004C2A6B"/>
    <w:rsid w:val="00515A1A"/>
    <w:rsid w:val="005259E6"/>
    <w:rsid w:val="005551E3"/>
    <w:rsid w:val="0058346B"/>
    <w:rsid w:val="00593A86"/>
    <w:rsid w:val="005C4744"/>
    <w:rsid w:val="005D147A"/>
    <w:rsid w:val="005F7E4B"/>
    <w:rsid w:val="006129C1"/>
    <w:rsid w:val="00654D13"/>
    <w:rsid w:val="00654E84"/>
    <w:rsid w:val="006553C1"/>
    <w:rsid w:val="006643D3"/>
    <w:rsid w:val="00670FBF"/>
    <w:rsid w:val="006972DA"/>
    <w:rsid w:val="006A7303"/>
    <w:rsid w:val="006C78B2"/>
    <w:rsid w:val="006D6D10"/>
    <w:rsid w:val="006F03D7"/>
    <w:rsid w:val="00704915"/>
    <w:rsid w:val="00721F29"/>
    <w:rsid w:val="007228ED"/>
    <w:rsid w:val="00722C34"/>
    <w:rsid w:val="007472CC"/>
    <w:rsid w:val="007910A3"/>
    <w:rsid w:val="007A562D"/>
    <w:rsid w:val="007B6969"/>
    <w:rsid w:val="007E136B"/>
    <w:rsid w:val="007E6B15"/>
    <w:rsid w:val="007F77FE"/>
    <w:rsid w:val="00804E36"/>
    <w:rsid w:val="008150EB"/>
    <w:rsid w:val="00825398"/>
    <w:rsid w:val="008273BB"/>
    <w:rsid w:val="008518CE"/>
    <w:rsid w:val="00856987"/>
    <w:rsid w:val="0086520B"/>
    <w:rsid w:val="00872D10"/>
    <w:rsid w:val="00882492"/>
    <w:rsid w:val="0089661B"/>
    <w:rsid w:val="008C1784"/>
    <w:rsid w:val="008E6B16"/>
    <w:rsid w:val="009132BE"/>
    <w:rsid w:val="00914794"/>
    <w:rsid w:val="00926407"/>
    <w:rsid w:val="009264BA"/>
    <w:rsid w:val="00956261"/>
    <w:rsid w:val="00963910"/>
    <w:rsid w:val="0097665F"/>
    <w:rsid w:val="009A1971"/>
    <w:rsid w:val="009B4F16"/>
    <w:rsid w:val="00A11999"/>
    <w:rsid w:val="00A4562E"/>
    <w:rsid w:val="00A50985"/>
    <w:rsid w:val="00A72E36"/>
    <w:rsid w:val="00A84B7E"/>
    <w:rsid w:val="00AC1377"/>
    <w:rsid w:val="00AD4BC7"/>
    <w:rsid w:val="00B2412D"/>
    <w:rsid w:val="00B40C80"/>
    <w:rsid w:val="00B52C3F"/>
    <w:rsid w:val="00B621CA"/>
    <w:rsid w:val="00B718D5"/>
    <w:rsid w:val="00B74954"/>
    <w:rsid w:val="00B8445E"/>
    <w:rsid w:val="00BE16CA"/>
    <w:rsid w:val="00BE208D"/>
    <w:rsid w:val="00BF0F08"/>
    <w:rsid w:val="00BF1B9F"/>
    <w:rsid w:val="00BF6579"/>
    <w:rsid w:val="00C110B9"/>
    <w:rsid w:val="00C128DE"/>
    <w:rsid w:val="00C60847"/>
    <w:rsid w:val="00C6726F"/>
    <w:rsid w:val="00C76A5B"/>
    <w:rsid w:val="00C87416"/>
    <w:rsid w:val="00C912C1"/>
    <w:rsid w:val="00CE0526"/>
    <w:rsid w:val="00CE5081"/>
    <w:rsid w:val="00D0714B"/>
    <w:rsid w:val="00D14FA8"/>
    <w:rsid w:val="00D413CB"/>
    <w:rsid w:val="00D66345"/>
    <w:rsid w:val="00D841A0"/>
    <w:rsid w:val="00DA367B"/>
    <w:rsid w:val="00DA4DD7"/>
    <w:rsid w:val="00DA5596"/>
    <w:rsid w:val="00E11CCC"/>
    <w:rsid w:val="00E1311F"/>
    <w:rsid w:val="00E1516D"/>
    <w:rsid w:val="00E21CB6"/>
    <w:rsid w:val="00E34CFC"/>
    <w:rsid w:val="00E548EC"/>
    <w:rsid w:val="00E61D61"/>
    <w:rsid w:val="00E66CB3"/>
    <w:rsid w:val="00E81E72"/>
    <w:rsid w:val="00E87B71"/>
    <w:rsid w:val="00ED693F"/>
    <w:rsid w:val="00F27243"/>
    <w:rsid w:val="00F52598"/>
    <w:rsid w:val="00F64C15"/>
    <w:rsid w:val="00F764B0"/>
    <w:rsid w:val="00FA54C4"/>
    <w:rsid w:val="00FB6662"/>
    <w:rsid w:val="00FC2484"/>
    <w:rsid w:val="00FC5F48"/>
    <w:rsid w:val="00FD7174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7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A57DC"/>
    <w:rPr>
      <w:b/>
      <w:bCs/>
    </w:rPr>
  </w:style>
  <w:style w:type="character" w:styleId="Emphasi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A57D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7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57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TableNormal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TJ</cp:lastModifiedBy>
  <cp:revision>3</cp:revision>
  <dcterms:created xsi:type="dcterms:W3CDTF">2019-09-14T14:46:00Z</dcterms:created>
  <dcterms:modified xsi:type="dcterms:W3CDTF">2019-09-14T14:51:00Z</dcterms:modified>
</cp:coreProperties>
</file>