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1F" w:rsidRDefault="0054441F" w:rsidP="0054441F">
      <w:pPr>
        <w:pStyle w:val="Cmsor1"/>
      </w:pPr>
      <w:r w:rsidRPr="007660DD">
        <w:t>Tantárgy</w:t>
      </w:r>
      <w:r>
        <w:t>i tematika és</w:t>
      </w:r>
      <w:r w:rsidRPr="007660DD">
        <w:t xml:space="preserve"> teljesítés</w:t>
      </w:r>
      <w:r>
        <w:t>i</w:t>
      </w:r>
      <w:r w:rsidRPr="007660DD">
        <w:t xml:space="preserve"> követelménye</w:t>
      </w:r>
      <w:r>
        <w:t xml:space="preserve">k </w:t>
      </w:r>
      <w:r>
        <w:br/>
      </w:r>
      <w:r>
        <w:t>2019/2020</w:t>
      </w:r>
      <w:r w:rsidRPr="007660DD">
        <w:t xml:space="preserve">. </w:t>
      </w:r>
      <w:bookmarkStart w:id="0" w:name="_GoBack"/>
      <w:bookmarkEnd w:id="0"/>
      <w:r w:rsidRPr="007660DD">
        <w:t>I.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148"/>
        <w:gridCol w:w="5669"/>
      </w:tblGrid>
      <w:tr w:rsidR="0054441F" w:rsidRPr="00914794" w:rsidTr="000A0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:rsidR="0054441F" w:rsidRPr="00956261" w:rsidRDefault="0054441F" w:rsidP="000A0828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:rsidR="0054441F" w:rsidRPr="00914794" w:rsidRDefault="0054441F" w:rsidP="000A0828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Német műszaki szaknyelv szóbeli I</w:t>
            </w:r>
          </w:p>
        </w:tc>
      </w:tr>
      <w:tr w:rsidR="0054441F" w:rsidRPr="00914794" w:rsidTr="000A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54441F" w:rsidRPr="00956261" w:rsidRDefault="0054441F" w:rsidP="000A0828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54441F" w:rsidRPr="00914794" w:rsidRDefault="0054441F" w:rsidP="000A0828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SZE032MN</w:t>
            </w:r>
          </w:p>
        </w:tc>
      </w:tr>
      <w:tr w:rsidR="0054441F" w:rsidRPr="00914794" w:rsidTr="000A0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54441F" w:rsidRPr="00956261" w:rsidRDefault="0054441F" w:rsidP="000A0828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54441F" w:rsidRPr="00914794" w:rsidRDefault="0054441F" w:rsidP="000A0828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2F1B63">
              <w:rPr>
                <w:rFonts w:asciiTheme="majorHAnsi" w:hAnsiTheme="majorHAnsi"/>
                <w:b/>
                <w:i w:val="0"/>
                <w:sz w:val="24"/>
                <w:szCs w:val="24"/>
              </w:rPr>
              <w:t>2 gyakorlat</w:t>
            </w:r>
          </w:p>
        </w:tc>
      </w:tr>
      <w:tr w:rsidR="0054441F" w:rsidRPr="00914794" w:rsidTr="000A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54441F" w:rsidRPr="00956261" w:rsidRDefault="0054441F" w:rsidP="000A0828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54441F" w:rsidRPr="00914794" w:rsidRDefault="0054441F" w:rsidP="000A0828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</w:p>
        </w:tc>
      </w:tr>
      <w:tr w:rsidR="0054441F" w:rsidRPr="00914794" w:rsidTr="000A0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54441F" w:rsidRPr="00956261" w:rsidRDefault="0054441F" w:rsidP="000A0828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54441F" w:rsidRPr="00914794" w:rsidRDefault="0054441F" w:rsidP="000A0828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Minden szak</w:t>
            </w:r>
          </w:p>
        </w:tc>
      </w:tr>
      <w:tr w:rsidR="0054441F" w:rsidRPr="00914794" w:rsidTr="000A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54441F" w:rsidRPr="00956261" w:rsidRDefault="0054441F" w:rsidP="000A0828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54441F" w:rsidRPr="00914794" w:rsidRDefault="0054441F" w:rsidP="000A0828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Nappali</w:t>
            </w:r>
          </w:p>
        </w:tc>
      </w:tr>
      <w:tr w:rsidR="0054441F" w:rsidRPr="00914794" w:rsidTr="000A0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54441F" w:rsidRPr="00956261" w:rsidRDefault="0054441F" w:rsidP="000A0828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54441F" w:rsidRPr="00914794" w:rsidRDefault="0054441F" w:rsidP="000A0828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Félévközi jegy</w:t>
            </w:r>
          </w:p>
        </w:tc>
      </w:tr>
      <w:tr w:rsidR="0054441F" w:rsidRPr="00914794" w:rsidTr="000A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54441F" w:rsidRPr="00956261" w:rsidRDefault="0054441F" w:rsidP="000A0828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54441F" w:rsidRPr="00914794" w:rsidRDefault="0054441F" w:rsidP="000A0828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Ősz/tavasz</w:t>
            </w:r>
          </w:p>
        </w:tc>
      </w:tr>
      <w:tr w:rsidR="0054441F" w:rsidRPr="00914794" w:rsidTr="000A0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54441F" w:rsidRPr="00956261" w:rsidRDefault="0054441F" w:rsidP="000A0828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54441F" w:rsidRPr="00914794" w:rsidRDefault="0054441F" w:rsidP="000A0828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Szintfelmérő teszt</w:t>
            </w:r>
          </w:p>
        </w:tc>
      </w:tr>
      <w:tr w:rsidR="0054441F" w:rsidRPr="00914794" w:rsidTr="000A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54441F" w:rsidRPr="00956261" w:rsidRDefault="0054441F" w:rsidP="000A0828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54441F" w:rsidRPr="00914794" w:rsidRDefault="0054441F" w:rsidP="000A0828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Műszaki Szaknyelvi Központ</w:t>
            </w:r>
          </w:p>
        </w:tc>
      </w:tr>
      <w:tr w:rsidR="0054441F" w:rsidRPr="00914794" w:rsidTr="000A08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54441F" w:rsidRPr="00956261" w:rsidRDefault="0054441F" w:rsidP="000A0828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54441F" w:rsidRPr="00914794" w:rsidRDefault="0054441F" w:rsidP="000A082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Tamás Katalin</w:t>
            </w:r>
          </w:p>
        </w:tc>
      </w:tr>
      <w:tr w:rsidR="0054441F" w:rsidRPr="00914794" w:rsidTr="000A082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:rsidR="0054441F" w:rsidRPr="00956261" w:rsidRDefault="0054441F" w:rsidP="000A0828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:rsidR="0054441F" w:rsidRPr="00914794" w:rsidRDefault="0054441F" w:rsidP="000A0828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:rsidR="0054441F" w:rsidRDefault="0054441F" w:rsidP="0054441F"/>
    <w:p w:rsidR="0054441F" w:rsidRPr="00194832" w:rsidRDefault="0054441F" w:rsidP="0054441F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:rsidR="0054441F" w:rsidRPr="00B34B57" w:rsidRDefault="0054441F" w:rsidP="0054441F">
      <w:pPr>
        <w:rPr>
          <w:b/>
        </w:rPr>
      </w:pPr>
      <w:r w:rsidRPr="00A918F3">
        <w:t xml:space="preserve">A műszaki szakterületre és mérnöki szakmákra jellemző </w:t>
      </w:r>
      <w:r>
        <w:t xml:space="preserve">alapvető </w:t>
      </w:r>
      <w:r w:rsidRPr="00A918F3">
        <w:t xml:space="preserve">szóbeli nyelvi készségek fejlesztése (hallott szöveg értése, információcsere, </w:t>
      </w:r>
      <w:r>
        <w:t>véleményadás/kérés) olyan hallgatók számára, akiknél a német beszélt nyelv készségszintű használata fejlesztésre szorul,</w:t>
      </w:r>
      <w:r w:rsidRPr="00A918F3">
        <w:t xml:space="preserve"> </w:t>
      </w:r>
      <w:r>
        <w:t>továbbá akik számára fontos az egyszerűbb nyelvtani szerkezetek és nyelvi funkciók áttekintése, rendszerezése és gyakorlása.</w:t>
      </w:r>
    </w:p>
    <w:p w:rsidR="0054441F" w:rsidRPr="00A201D9" w:rsidRDefault="0054441F" w:rsidP="0054441F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:rsidR="0054441F" w:rsidRDefault="0054441F" w:rsidP="0054441F">
      <w:pPr>
        <w:spacing w:before="120" w:after="120"/>
      </w:pPr>
      <w:r w:rsidRPr="00804E36">
        <w:rPr>
          <w:i/>
        </w:rPr>
        <w:t>Rövid leírás</w:t>
      </w:r>
      <w:r>
        <w:t>:</w:t>
      </w:r>
    </w:p>
    <w:p w:rsidR="0054441F" w:rsidRDefault="0054441F" w:rsidP="0054441F">
      <w:pPr>
        <w:spacing w:before="120" w:after="120"/>
      </w:pPr>
      <w:r>
        <w:t xml:space="preserve"> Alapvető s</w:t>
      </w:r>
      <w:r w:rsidRPr="00A918F3">
        <w:t xml:space="preserve">zóbeli nyelvi készségek </w:t>
      </w:r>
      <w:r>
        <w:t xml:space="preserve">és a szókincskészlet </w:t>
      </w:r>
      <w:r w:rsidRPr="00A918F3">
        <w:t>fejlesztése a műszaki és mérnöki szakmák kontextusába ágyazott feladatokon keresztül a következő témakörökben:</w:t>
      </w:r>
      <w:r>
        <w:t xml:space="preserve"> numerikus kifejezések, funkció, hely/helyzet meghatározása, instrukciók adása/követése, folyamatleírások, diagramok, rendszerek működése, anyagok és </w:t>
      </w:r>
      <w:r>
        <w:lastRenderedPageBreak/>
        <w:t xml:space="preserve">jellemzőik, specifikációk, mennyiségek, hibaelhárítás. </w:t>
      </w:r>
      <w:r w:rsidRPr="00A918F3">
        <w:t xml:space="preserve">Olvasott és hallott szövegértési feladatok, </w:t>
      </w:r>
      <w:r>
        <w:t>információcsere, vélemény kifejtése</w:t>
      </w:r>
      <w:r w:rsidRPr="00A918F3">
        <w:t>.</w:t>
      </w:r>
    </w:p>
    <w:p w:rsidR="0054441F" w:rsidRDefault="0054441F" w:rsidP="0054441F">
      <w:pPr>
        <w:spacing w:before="120" w:after="120"/>
      </w:pPr>
    </w:p>
    <w:p w:rsidR="0054441F" w:rsidRDefault="0054441F" w:rsidP="0054441F">
      <w:pPr>
        <w:spacing w:after="120"/>
      </w:pPr>
    </w:p>
    <w:p w:rsidR="0054441F" w:rsidRPr="00804E36" w:rsidRDefault="0054441F" w:rsidP="0054441F">
      <w:pPr>
        <w:spacing w:after="120"/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:rsidR="0054441F" w:rsidRDefault="0054441F" w:rsidP="0054441F">
      <w:pPr>
        <w:pStyle w:val="Listaszerbekezds"/>
        <w:numPr>
          <w:ilvl w:val="0"/>
          <w:numId w:val="2"/>
        </w:numPr>
      </w:pPr>
      <w:r>
        <w:t xml:space="preserve">Tájékoztató </w:t>
      </w:r>
    </w:p>
    <w:p w:rsidR="0054441F" w:rsidRDefault="0054441F" w:rsidP="0054441F">
      <w:pPr>
        <w:pStyle w:val="Listaszerbekezds"/>
        <w:numPr>
          <w:ilvl w:val="0"/>
          <w:numId w:val="2"/>
        </w:numPr>
      </w:pPr>
      <w:r>
        <w:t>Bemutatkozás, műszaki tanulmányok</w:t>
      </w:r>
    </w:p>
    <w:p w:rsidR="0054441F" w:rsidRDefault="0054441F" w:rsidP="0054441F">
      <w:pPr>
        <w:pStyle w:val="Listaszerbekezds"/>
        <w:numPr>
          <w:ilvl w:val="0"/>
          <w:numId w:val="2"/>
        </w:numPr>
      </w:pPr>
      <w:r>
        <w:t>Összeszerelés, műveletek, instrukciók</w:t>
      </w:r>
    </w:p>
    <w:p w:rsidR="0054441F" w:rsidRDefault="0054441F" w:rsidP="0054441F">
      <w:pPr>
        <w:pStyle w:val="Listaszerbekezds"/>
        <w:numPr>
          <w:ilvl w:val="0"/>
          <w:numId w:val="2"/>
        </w:numPr>
      </w:pPr>
      <w:r>
        <w:t xml:space="preserve">Funkció, használati kézikönyv </w:t>
      </w:r>
    </w:p>
    <w:p w:rsidR="0054441F" w:rsidRDefault="0054441F" w:rsidP="0054441F">
      <w:pPr>
        <w:pStyle w:val="Listaszerbekezds"/>
        <w:numPr>
          <w:ilvl w:val="0"/>
          <w:numId w:val="2"/>
        </w:numPr>
      </w:pPr>
      <w:r>
        <w:t>Folyamatleírás</w:t>
      </w:r>
    </w:p>
    <w:p w:rsidR="0054441F" w:rsidRDefault="0054441F" w:rsidP="0054441F">
      <w:pPr>
        <w:pStyle w:val="Listaszerbekezds"/>
        <w:numPr>
          <w:ilvl w:val="0"/>
          <w:numId w:val="2"/>
        </w:numPr>
      </w:pPr>
      <w:r>
        <w:t>Rendszerek működése</w:t>
      </w:r>
    </w:p>
    <w:p w:rsidR="0054441F" w:rsidRDefault="0054441F" w:rsidP="0054441F">
      <w:pPr>
        <w:pStyle w:val="Listaszerbekezds"/>
        <w:numPr>
          <w:ilvl w:val="0"/>
          <w:numId w:val="2"/>
        </w:numPr>
      </w:pPr>
      <w:r>
        <w:t>Diagramok interpretálása 1</w:t>
      </w:r>
    </w:p>
    <w:p w:rsidR="0054441F" w:rsidRDefault="0054441F" w:rsidP="0054441F">
      <w:pPr>
        <w:pStyle w:val="Listaszerbekezds"/>
        <w:numPr>
          <w:ilvl w:val="0"/>
          <w:numId w:val="2"/>
        </w:numPr>
      </w:pPr>
      <w:r>
        <w:t>Diagramok interpretálása 2</w:t>
      </w:r>
    </w:p>
    <w:p w:rsidR="0054441F" w:rsidRDefault="0054441F" w:rsidP="0054441F">
      <w:pPr>
        <w:pStyle w:val="Listaszerbekezds"/>
        <w:numPr>
          <w:ilvl w:val="0"/>
          <w:numId w:val="2"/>
        </w:numPr>
      </w:pPr>
      <w:r>
        <w:t>Anyagok és jellemzőik 1</w:t>
      </w:r>
    </w:p>
    <w:p w:rsidR="0054441F" w:rsidRDefault="0054441F" w:rsidP="0054441F">
      <w:pPr>
        <w:pStyle w:val="Listaszerbekezds"/>
        <w:numPr>
          <w:ilvl w:val="0"/>
          <w:numId w:val="2"/>
        </w:numPr>
      </w:pPr>
      <w:r>
        <w:t>Anyagok és jellemzőik 2</w:t>
      </w:r>
    </w:p>
    <w:p w:rsidR="0054441F" w:rsidRDefault="0054441F" w:rsidP="0054441F">
      <w:pPr>
        <w:pStyle w:val="Listaszerbekezds"/>
        <w:numPr>
          <w:ilvl w:val="0"/>
          <w:numId w:val="2"/>
        </w:numPr>
      </w:pPr>
      <w:r>
        <w:t>Specifikációk, méretek, mennyiségek</w:t>
      </w:r>
    </w:p>
    <w:p w:rsidR="0054441F" w:rsidRDefault="0054441F" w:rsidP="0054441F">
      <w:pPr>
        <w:pStyle w:val="Listaszerbekezds"/>
        <w:numPr>
          <w:ilvl w:val="0"/>
          <w:numId w:val="2"/>
        </w:numPr>
      </w:pPr>
      <w:r>
        <w:t>Hibák, működési zavarok és elhárításuk</w:t>
      </w:r>
    </w:p>
    <w:p w:rsidR="0054441F" w:rsidRPr="005C69BE" w:rsidRDefault="0054441F" w:rsidP="0054441F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:rsidR="0054441F" w:rsidRDefault="0054441F" w:rsidP="0054441F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54441F" w:rsidRPr="00A918F3" w:rsidRDefault="0054441F" w:rsidP="0054441F">
      <w:pPr>
        <w:jc w:val="both"/>
      </w:pPr>
      <w:r w:rsidRPr="00A918F3">
        <w:t>A gyakorlatokon való, TVSZ előírása (45.§ (2)) szerinti részvétel.</w:t>
      </w:r>
      <w:r>
        <w:t xml:space="preserve"> A hiányzások száma nem haladhatja meg az órák számának 30%-át.</w:t>
      </w:r>
    </w:p>
    <w:p w:rsidR="0054441F" w:rsidRDefault="0054441F" w:rsidP="0054441F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:rsidR="0054441F" w:rsidRDefault="0054441F" w:rsidP="0054441F">
      <w:pPr>
        <w:widowControl w:val="0"/>
      </w:pPr>
      <w:r w:rsidRPr="00A918F3">
        <w:t>A tematika szerinti zárthelyi dolgozat</w:t>
      </w:r>
      <w:r>
        <w:t xml:space="preserve"> és szóbeli számonkérés adott időben történő teljesítése</w:t>
      </w:r>
      <w:r w:rsidRPr="00A918F3">
        <w:t>. Az aláírá</w:t>
      </w:r>
      <w:r>
        <w:t>s feltétele a számonkérések minimum 50</w:t>
      </w:r>
      <w:r w:rsidRPr="00A918F3">
        <w:t>%-os teljesítése.</w:t>
      </w:r>
      <w:r>
        <w:t xml:space="preserve"> Eredményközlés 14 napon belül.</w:t>
      </w:r>
    </w:p>
    <w:p w:rsidR="0054441F" w:rsidRDefault="0054441F" w:rsidP="0054441F">
      <w:pPr>
        <w:widowControl w:val="0"/>
      </w:pPr>
      <w:r w:rsidRPr="00A918F3">
        <w:t>A gyakorlatokon való részvétel nem pótolható. A zárthelyi dolgozat</w:t>
      </w:r>
      <w:r>
        <w:t xml:space="preserve"> és a szóbeli számonkérés </w:t>
      </w:r>
      <w:r w:rsidRPr="00A918F3">
        <w:t>egy alkalommal javítható</w:t>
      </w:r>
      <w:r>
        <w:t>, illetve pótolható</w:t>
      </w:r>
      <w:r w:rsidRPr="00A918F3">
        <w:t>. A jav</w:t>
      </w:r>
      <w:r>
        <w:t>ítás</w:t>
      </w:r>
      <w:r w:rsidRPr="00A918F3">
        <w:t xml:space="preserve"> eset</w:t>
      </w:r>
      <w:r>
        <w:t>ében mindig a legutolsó eredmény</w:t>
      </w:r>
      <w:r w:rsidRPr="00A918F3">
        <w:t>t ve</w:t>
      </w:r>
      <w:r>
        <w:t xml:space="preserve">sszük figyelembe, azaz </w:t>
      </w:r>
      <w:r w:rsidRPr="00A918F3">
        <w:t>rontani is lehet.</w:t>
      </w:r>
    </w:p>
    <w:p w:rsidR="0054441F" w:rsidRDefault="0054441F" w:rsidP="0054441F">
      <w:pPr>
        <w:widowControl w:val="0"/>
        <w:spacing w:after="12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:rsidR="0054441F" w:rsidRPr="00412340" w:rsidRDefault="0054441F" w:rsidP="0054441F">
      <w:pPr>
        <w:widowControl w:val="0"/>
        <w:spacing w:before="0" w:after="0"/>
      </w:pPr>
      <w:r w:rsidRPr="00412340">
        <w:t>85 – 100%    5</w:t>
      </w:r>
    </w:p>
    <w:p w:rsidR="0054441F" w:rsidRPr="00412340" w:rsidRDefault="0054441F" w:rsidP="0054441F">
      <w:pPr>
        <w:widowControl w:val="0"/>
        <w:spacing w:before="0" w:after="0"/>
      </w:pPr>
      <w:r w:rsidRPr="00412340">
        <w:t>76 – 84%      4</w:t>
      </w:r>
    </w:p>
    <w:p w:rsidR="0054441F" w:rsidRPr="00412340" w:rsidRDefault="0054441F" w:rsidP="0054441F">
      <w:pPr>
        <w:widowControl w:val="0"/>
        <w:spacing w:before="0" w:after="0"/>
      </w:pPr>
      <w:r w:rsidRPr="00412340">
        <w:t>61 – 75%      3</w:t>
      </w:r>
    </w:p>
    <w:p w:rsidR="0054441F" w:rsidRPr="00412340" w:rsidRDefault="0054441F" w:rsidP="0054441F">
      <w:pPr>
        <w:widowControl w:val="0"/>
        <w:spacing w:before="0" w:after="0"/>
      </w:pPr>
      <w:r w:rsidRPr="00412340">
        <w:t>50 – 60%      2</w:t>
      </w:r>
    </w:p>
    <w:p w:rsidR="0054441F" w:rsidRPr="00412340" w:rsidRDefault="0054441F" w:rsidP="0054441F">
      <w:pPr>
        <w:widowControl w:val="0"/>
        <w:spacing w:before="0" w:after="0"/>
      </w:pPr>
      <w:r w:rsidRPr="00412340">
        <w:t xml:space="preserve">0 – 49%        1  </w:t>
      </w:r>
    </w:p>
    <w:p w:rsidR="0054441F" w:rsidRPr="00CE0526" w:rsidRDefault="0054441F" w:rsidP="0054441F">
      <w:pPr>
        <w:pStyle w:val="Cmsor2"/>
      </w:pPr>
      <w:r w:rsidRPr="00D14FA8">
        <w:t>Kötelező és ajánlott irodalom</w:t>
      </w:r>
    </w:p>
    <w:p w:rsidR="0054441F" w:rsidRDefault="0054441F" w:rsidP="0054441F">
      <w:pPr>
        <w:pStyle w:val="Listaszerbekezds"/>
        <w:numPr>
          <w:ilvl w:val="0"/>
          <w:numId w:val="1"/>
        </w:numPr>
        <w:suppressAutoHyphens/>
        <w:ind w:right="-108"/>
        <w:rPr>
          <w:bCs/>
          <w:sz w:val="22"/>
          <w:szCs w:val="22"/>
        </w:rPr>
      </w:pPr>
      <w:r>
        <w:rPr>
          <w:bCs/>
          <w:sz w:val="22"/>
          <w:szCs w:val="22"/>
        </w:rPr>
        <w:t>Demme: Studio d</w:t>
      </w:r>
    </w:p>
    <w:p w:rsidR="0054441F" w:rsidRPr="004C0BB9" w:rsidRDefault="0054441F" w:rsidP="0054441F">
      <w:pPr>
        <w:pStyle w:val="Listaszerbekezds"/>
        <w:numPr>
          <w:ilvl w:val="0"/>
          <w:numId w:val="1"/>
        </w:numPr>
        <w:suppressAutoHyphens/>
        <w:ind w:right="-108"/>
        <w:rPr>
          <w:bCs/>
          <w:sz w:val="22"/>
          <w:szCs w:val="22"/>
        </w:rPr>
      </w:pPr>
      <w:r>
        <w:rPr>
          <w:bCs/>
          <w:sz w:val="22"/>
          <w:szCs w:val="22"/>
        </w:rPr>
        <w:t>Becker-Braunert: Alltag und Beruf Hueber 2015</w:t>
      </w:r>
    </w:p>
    <w:p w:rsidR="0054441F" w:rsidRDefault="0054441F" w:rsidP="0054441F">
      <w:pPr>
        <w:pStyle w:val="Listaszerbekezds"/>
      </w:pPr>
    </w:p>
    <w:p w:rsidR="0054441F" w:rsidRDefault="0054441F" w:rsidP="0054441F">
      <w:pPr>
        <w:pStyle w:val="Listaszerbekezds"/>
      </w:pPr>
    </w:p>
    <w:p w:rsidR="0054441F" w:rsidRDefault="0054441F" w:rsidP="0054441F">
      <w:pPr>
        <w:sectPr w:rsidR="0054441F" w:rsidSect="00914794">
          <w:footerReference w:type="default" r:id="rId5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54441F" w:rsidRPr="00064593" w:rsidRDefault="0054441F" w:rsidP="0054441F">
      <w:pPr>
        <w:pStyle w:val="Cmsor2"/>
      </w:pPr>
      <w:r w:rsidRPr="00064593"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3"/>
        <w:gridCol w:w="494"/>
        <w:gridCol w:w="494"/>
        <w:gridCol w:w="505"/>
        <w:gridCol w:w="505"/>
        <w:gridCol w:w="616"/>
        <w:gridCol w:w="542"/>
        <w:gridCol w:w="543"/>
      </w:tblGrid>
      <w:tr w:rsidR="0054441F" w:rsidRPr="007910A3" w:rsidTr="000A0828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441F" w:rsidRPr="00064593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1F" w:rsidRPr="007910A3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1F" w:rsidRPr="007910A3" w:rsidRDefault="0054441F" w:rsidP="000A0828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Szorgalmi időszak, oktatási hetek</w:t>
            </w:r>
          </w:p>
        </w:tc>
        <w:tc>
          <w:tcPr>
            <w:tcW w:w="2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1F" w:rsidRPr="007910A3" w:rsidRDefault="0054441F" w:rsidP="000A0828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54441F" w:rsidRPr="007910A3" w:rsidTr="000A0828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1F" w:rsidRPr="007910A3" w:rsidRDefault="0054441F" w:rsidP="000A0828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2019/2020</w:t>
            </w:r>
            <w:r>
              <w:rPr>
                <w:rFonts w:eastAsia="Times New Roman"/>
                <w:lang w:eastAsia="hu-HU"/>
              </w:rPr>
              <w:t xml:space="preserve">. </w:t>
            </w:r>
            <w:r>
              <w:rPr>
                <w:rFonts w:eastAsia="Times New Roman"/>
                <w:lang w:eastAsia="hu-HU"/>
              </w:rPr>
              <w:t>I</w:t>
            </w:r>
            <w:r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1F" w:rsidRPr="007910A3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1F" w:rsidRPr="007910A3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1F" w:rsidRPr="007910A3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1F" w:rsidRPr="007910A3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1F" w:rsidRPr="007910A3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1F" w:rsidRPr="007910A3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1F" w:rsidRPr="007910A3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1F" w:rsidRPr="007910A3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1F" w:rsidRPr="007910A3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1F" w:rsidRPr="007910A3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1F" w:rsidRPr="007910A3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1F" w:rsidRPr="007910A3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1F" w:rsidRPr="007910A3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1F" w:rsidRPr="007910A3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1F" w:rsidRPr="007910A3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1F" w:rsidRPr="007910A3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1F" w:rsidRPr="007910A3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1F" w:rsidRPr="007910A3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1F" w:rsidRPr="007910A3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1F" w:rsidRPr="007910A3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54441F" w:rsidRPr="003B639F" w:rsidTr="0054441F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1F" w:rsidRPr="00064593" w:rsidRDefault="0054441F" w:rsidP="000A082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Témakör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41F" w:rsidRPr="000D5865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CC2E5" w:themeColor="accent1" w:themeTint="99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9CC2E5" w:themeColor="accent1" w:themeTint="99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54441F" w:rsidRPr="00422F53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CC2E5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4441F" w:rsidRPr="003B639F" w:rsidTr="0054441F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1F" w:rsidRPr="00064593" w:rsidRDefault="0054441F" w:rsidP="000A082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/szóbeli számonkérés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41F" w:rsidRPr="000D5865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CC2E5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41F" w:rsidRPr="00D34FB7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1F" w:rsidRPr="00D34FB7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D34FB7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4441F" w:rsidRPr="003B639F" w:rsidTr="0054441F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1F" w:rsidRPr="00064593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1F" w:rsidRPr="00064593" w:rsidRDefault="0054441F" w:rsidP="000A082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41F" w:rsidRPr="000D5865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CC2E5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41F" w:rsidRPr="00D34FB7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1F" w:rsidRPr="00D34FB7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4441F" w:rsidRPr="003B639F" w:rsidTr="0054441F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1F" w:rsidRPr="00064593" w:rsidRDefault="0054441F" w:rsidP="000A082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1F" w:rsidRPr="00064593" w:rsidRDefault="0054441F" w:rsidP="000A082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41F" w:rsidRPr="000D5865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9CC2E5" w:themeColor="accent1" w:themeTint="99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41F" w:rsidRPr="00D34FB7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41F" w:rsidRPr="00D34FB7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54441F" w:rsidRPr="0097665F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4441F" w:rsidRPr="0097665F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54441F" w:rsidRPr="003B639F" w:rsidTr="0054441F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1F" w:rsidRPr="00064593" w:rsidRDefault="0054441F" w:rsidP="000A0828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Aláírás / Félévközi jegy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/fj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1F" w:rsidRPr="00E11CCC" w:rsidRDefault="0054441F" w:rsidP="000A082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54441F" w:rsidRDefault="0054441F" w:rsidP="0054441F"/>
    <w:p w:rsidR="0054441F" w:rsidRDefault="0054441F" w:rsidP="0054441F">
      <w:r>
        <w:t xml:space="preserve">2019. </w:t>
      </w:r>
      <w:r>
        <w:t>szeptember 02</w:t>
      </w:r>
      <w:r>
        <w:t>..………………………………………</w:t>
      </w:r>
    </w:p>
    <w:p w:rsidR="0054441F" w:rsidRDefault="0054441F" w:rsidP="0054441F">
      <w:pPr>
        <w:ind w:firstLine="7797"/>
        <w:jc w:val="center"/>
      </w:pPr>
      <w:r>
        <w:t>…………………………………………Tamás Katalin……………………………………………..</w:t>
      </w:r>
    </w:p>
    <w:p w:rsidR="0054441F" w:rsidRDefault="0054441F" w:rsidP="0054441F">
      <w:pPr>
        <w:ind w:firstLine="7797"/>
        <w:jc w:val="center"/>
      </w:pPr>
      <w:r>
        <w:t>tantárgyfelelős</w:t>
      </w:r>
    </w:p>
    <w:p w:rsidR="00F36A97" w:rsidRDefault="00F36A97"/>
    <w:sectPr w:rsidR="00F36A97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727360"/>
      <w:docPartObj>
        <w:docPartGallery w:val="Page Numbers (Bottom of Page)"/>
        <w:docPartUnique/>
      </w:docPartObj>
    </w:sdtPr>
    <w:sdtEndPr/>
    <w:sdtContent>
      <w:p w:rsidR="005F7E4B" w:rsidRDefault="0054441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F7E4B" w:rsidRDefault="0054441F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1F"/>
    <w:rsid w:val="0054441F"/>
    <w:rsid w:val="00F3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528AB-028A-42E1-939F-49E6AEB1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441F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54441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4441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4441F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4441F"/>
    <w:rPr>
      <w:rFonts w:eastAsiaTheme="minorEastAsia"/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Cmsor2Char">
    <w:name w:val="Címsor 2 Char"/>
    <w:basedOn w:val="Bekezdsalapbettpusa"/>
    <w:link w:val="Cmsor2"/>
    <w:uiPriority w:val="9"/>
    <w:rsid w:val="0054441F"/>
    <w:rPr>
      <w:rFonts w:eastAsiaTheme="minorEastAsia"/>
      <w:caps/>
      <w:spacing w:val="15"/>
      <w:shd w:val="clear" w:color="auto" w:fill="DEEAF6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54441F"/>
    <w:rPr>
      <w:rFonts w:eastAsiaTheme="minorEastAsia"/>
      <w:caps/>
      <w:color w:val="1F4D78" w:themeColor="accent1" w:themeShade="7F"/>
      <w:spacing w:val="15"/>
    </w:rPr>
  </w:style>
  <w:style w:type="paragraph" w:styleId="Listaszerbekezds">
    <w:name w:val="List Paragraph"/>
    <w:basedOn w:val="Norml"/>
    <w:uiPriority w:val="34"/>
    <w:qFormat/>
    <w:rsid w:val="0054441F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544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441F"/>
    <w:rPr>
      <w:rFonts w:eastAsiaTheme="minorEastAsia"/>
      <w:sz w:val="20"/>
      <w:szCs w:val="20"/>
    </w:rPr>
  </w:style>
  <w:style w:type="table" w:customStyle="1" w:styleId="Tblzatrcsos7tarka1">
    <w:name w:val="Táblázat (rácsos) 7 – tarka1"/>
    <w:basedOn w:val="Normltblzat"/>
    <w:uiPriority w:val="52"/>
    <w:rsid w:val="0054441F"/>
    <w:pPr>
      <w:spacing w:before="200"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Katalin</dc:creator>
  <cp:keywords/>
  <dc:description/>
  <cp:lastModifiedBy>Tamás Katalin</cp:lastModifiedBy>
  <cp:revision>1</cp:revision>
  <dcterms:created xsi:type="dcterms:W3CDTF">2019-09-22T17:00:00Z</dcterms:created>
  <dcterms:modified xsi:type="dcterms:W3CDTF">2019-09-22T17:03:00Z</dcterms:modified>
</cp:coreProperties>
</file>