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hd w:fill="4F81BD" w:val="clear"/>
        <w:spacing w:before="200" w:after="0"/>
        <w:rPr/>
      </w:pPr>
      <w:r>
        <w:rPr/>
        <w:t xml:space="preserve">Tantárgyi tematika és teljesítési követelmények </w:t>
        <w:br/>
        <w:t>2019/2020. II. félév</w:t>
      </w:r>
    </w:p>
    <w:tbl>
      <w:tblPr>
        <w:tblW w:w="4850" w:type="pct"/>
        <w:jc w:val="left"/>
        <w:tblInd w:w="-113" w:type="dxa"/>
        <w:tblBorders>
          <w:bottom w:val="single" w:sz="4" w:space="0" w:color="666666"/>
          <w:insideH w:val="single" w:sz="4" w:space="0" w:color="666666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141"/>
        <w:gridCol w:w="5658"/>
      </w:tblGrid>
      <w:tr>
        <w:trPr/>
        <w:tc>
          <w:tcPr>
            <w:tcW w:w="3141" w:type="dxa"/>
            <w:tcBorders>
              <w:bottom w:val="single" w:sz="4" w:space="0" w:color="666666"/>
              <w:insideH w:val="single" w:sz="4" w:space="0" w:color="666666"/>
            </w:tcBorders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  <w:t>Cím</w:t>
            </w:r>
          </w:p>
        </w:tc>
        <w:tc>
          <w:tcPr>
            <w:tcW w:w="5658" w:type="dxa"/>
            <w:tcBorders>
              <w:bottom w:val="single" w:sz="4" w:space="0" w:color="666666"/>
              <w:insideH w:val="single" w:sz="4" w:space="0" w:color="666666"/>
            </w:tcBorders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 w:val="false"/>
                <w:b w:val="false"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 w:val="false"/>
                <w:bCs/>
                <w:i/>
                <w:iCs/>
                <w:color w:val="000000"/>
                <w:sz w:val="24"/>
                <w:szCs w:val="24"/>
              </w:rPr>
              <w:t>Projekt- és vállalkozásmanagement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Tárgykód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MSE344MNEM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Heti óraszám: ea/gy/lab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iCs/>
                <w:color w:val="000000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/0/0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Kreditpont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Szak(ok)/ típus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iCs/>
                <w:color w:val="000000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Épít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ész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mérnök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 xml:space="preserve"> BSc (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6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 xml:space="preserve">.); </w:t>
            </w: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Építőművészet BA (6.); Építészmérnök MSc osztatlan (6.)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Tagozat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Nappali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Követelmény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Vizsga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Meghirdetés féléve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Előzetes követelmény(ek)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Oktató tanszék(ek)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 w:val="false"/>
                <w:i w:val="false"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 w:val="false"/>
                <w:iCs/>
                <w:color w:val="000000"/>
                <w:sz w:val="24"/>
                <w:szCs w:val="24"/>
              </w:rPr>
              <w:t>Mérnöki Ismeretek</w:t>
            </w:r>
          </w:p>
        </w:tc>
      </w:tr>
      <w:tr>
        <w:trPr/>
        <w:tc>
          <w:tcPr>
            <w:tcW w:w="3141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i/>
                <w:iCs/>
                <w:color w:val="000000"/>
              </w:rPr>
              <w:t>Tárgyfelelős és oktatók</w:t>
            </w:r>
          </w:p>
        </w:tc>
        <w:tc>
          <w:tcPr>
            <w:tcW w:w="5658" w:type="dxa"/>
            <w:tcBorders/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i/>
                <w:iCs/>
                <w:color w:val="000000"/>
                <w:sz w:val="24"/>
                <w:szCs w:val="24"/>
              </w:rPr>
              <w:t>Szűcs Krisztián</w:t>
            </w:r>
          </w:p>
        </w:tc>
      </w:tr>
      <w:tr>
        <w:trPr/>
        <w:tc>
          <w:tcPr>
            <w:tcW w:w="3141" w:type="dxa"/>
            <w:tcBorders>
              <w:top w:val="single" w:sz="4" w:space="0" w:color="666666"/>
            </w:tcBorders>
            <w:shd w:fill="FFFFFF" w:val="clea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</w:rPr>
            </w:r>
          </w:p>
        </w:tc>
        <w:tc>
          <w:tcPr>
            <w:tcW w:w="5658" w:type="dxa"/>
            <w:tcBorders>
              <w:top w:val="single" w:sz="4" w:space="0" w:color="666666"/>
            </w:tcBorders>
            <w:shd w:fill="FFFFFF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Cmsor2"/>
        <w:shd w:fill="DBE5F1" w:val="clear"/>
        <w:rPr>
          <w:lang w:val="en-US"/>
        </w:rPr>
      </w:pPr>
      <w:r>
        <w:rPr>
          <w:lang w:val="en-US"/>
        </w:rPr>
        <w:t>Tantárgy célkitűzése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A kurzus célja a projektek menedzselésének vállalkozásokon keresztül történő mérnöki gyakorlatban való megjelenése, elsősorban az építész diszciplína területein. A széleskörű projekt- és vállalkozásmenedzsment ismereteken túl a kurzus fontos eleme, hogy a műszaki tudományokon belül beágyazott módon növelje az egyes társtudományok szinergiáját.</w:t>
      </w:r>
    </w:p>
    <w:p>
      <w:pPr>
        <w:pStyle w:val="Cmsor2"/>
        <w:rPr/>
      </w:pPr>
      <w:r>
        <w:rPr/>
        <w:t xml:space="preserve">Tartalma  </w:t>
      </w:r>
    </w:p>
    <w:p>
      <w:pPr>
        <w:pStyle w:val="Normal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A projektmenedzselés- és vállalkozásmenedzselés átfogó ismereteinek megismerése, elsősorban a műszaki tudományterületeken. A vállalkozások fogalmi rendszere, külső és belső környezetének feltérképezése. Vállalati stratégiák kialakítása és szerepe. Az egyes vállalati funkciók megismerése. Az innováció megjelenése az egyes projektekben. A projektmenedzselt vállalatok versenyképességének növelése.  Az egyes marketing, HR, logisztika, termelés és minőség rendszerek rövid ismertetése. A vállalati válságkezelés problematikái. A projektfinanszírozás kérdéskörei.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Témakörök:</w:t>
      </w:r>
    </w:p>
    <w:p>
      <w:pPr>
        <w:pStyle w:val="Normal"/>
        <w:rPr/>
      </w:pPr>
      <w:r>
        <w:rPr/>
        <w:t>Előadás: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Regisztráció, tantárgyi követelmények, bevezetés; A tematika ismertetése. </w:t>
      </w:r>
    </w:p>
    <w:p>
      <w:pPr>
        <w:pStyle w:val="ListParagraph"/>
        <w:numPr>
          <w:ilvl w:val="0"/>
          <w:numId w:val="3"/>
        </w:numPr>
        <w:rPr/>
      </w:pPr>
      <w:r>
        <w:rPr/>
        <w:t>Projektmenedzselés: kommunikáció I.</w:t>
      </w:r>
    </w:p>
    <w:p>
      <w:pPr>
        <w:pStyle w:val="ListParagraph"/>
        <w:numPr>
          <w:ilvl w:val="0"/>
          <w:numId w:val="3"/>
        </w:numPr>
        <w:rPr/>
      </w:pPr>
      <w:r>
        <w:rPr/>
        <w:t>Projektmenedzselés: kommunikáció II.</w:t>
      </w:r>
    </w:p>
    <w:p>
      <w:pPr>
        <w:pStyle w:val="ListParagraph"/>
        <w:numPr>
          <w:ilvl w:val="0"/>
          <w:numId w:val="3"/>
        </w:numPr>
        <w:rPr/>
      </w:pPr>
      <w:r>
        <w:rPr/>
        <w:t>Projektmenedzselés: motiváció</w:t>
      </w:r>
    </w:p>
    <w:p>
      <w:pPr>
        <w:pStyle w:val="ListParagraph"/>
        <w:numPr>
          <w:ilvl w:val="0"/>
          <w:numId w:val="3"/>
        </w:numPr>
        <w:rPr/>
      </w:pPr>
      <w:r>
        <w:rPr/>
        <w:t>A vállalkozások fogalmi rendszere.</w:t>
      </w:r>
    </w:p>
    <w:p>
      <w:pPr>
        <w:pStyle w:val="ListParagraph"/>
        <w:numPr>
          <w:ilvl w:val="0"/>
          <w:numId w:val="3"/>
        </w:numPr>
        <w:rPr/>
      </w:pPr>
      <w:r>
        <w:rPr/>
        <w:t>Az egyes vállalati funkciók megismerése, külső és belső környezetének feltérképezése.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Vállalati stratégiák kialakítása és szerepe. </w:t>
      </w:r>
      <w:r>
        <w:rPr/>
        <w:t>A</w:t>
      </w:r>
      <w:r>
        <w:rPr/>
        <w:t>z üzleti terv.</w:t>
      </w:r>
    </w:p>
    <w:p>
      <w:pPr>
        <w:pStyle w:val="ListParagraph"/>
        <w:numPr>
          <w:ilvl w:val="0"/>
          <w:numId w:val="3"/>
        </w:numPr>
        <w:rPr/>
      </w:pPr>
      <w:r>
        <w:rPr/>
        <w:t>Innováció alapfogalmai-, stratégia, innovációs lánc.</w:t>
      </w:r>
    </w:p>
    <w:p>
      <w:pPr>
        <w:pStyle w:val="ListParagraph"/>
        <w:numPr>
          <w:ilvl w:val="0"/>
          <w:numId w:val="3"/>
        </w:numPr>
        <w:rPr/>
      </w:pPr>
      <w:r>
        <w:rPr/>
        <w:t>Logisztika és termelés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A projektfinanszírozás főbb területei </w:t>
      </w:r>
    </w:p>
    <w:p>
      <w:pPr>
        <w:pStyle w:val="ListParagraph"/>
        <w:numPr>
          <w:ilvl w:val="0"/>
          <w:numId w:val="3"/>
        </w:numPr>
        <w:rPr/>
      </w:pPr>
      <w:r>
        <w:rPr/>
        <w:t>Tavaszi szünet</w:t>
      </w:r>
    </w:p>
    <w:p>
      <w:pPr>
        <w:pStyle w:val="ListParagraph"/>
        <w:numPr>
          <w:ilvl w:val="0"/>
          <w:numId w:val="3"/>
        </w:numPr>
        <w:rPr/>
      </w:pPr>
      <w:r>
        <w:rPr/>
        <w:t>Statikus beruházásgazdaságossági számítások</w:t>
      </w:r>
    </w:p>
    <w:p>
      <w:pPr>
        <w:pStyle w:val="ListParagraph"/>
        <w:numPr>
          <w:ilvl w:val="0"/>
          <w:numId w:val="3"/>
        </w:numPr>
        <w:rPr/>
      </w:pPr>
      <w:r>
        <w:rPr/>
        <w:t>Dinamikus beruházásgazdaságossági számítások</w:t>
      </w:r>
    </w:p>
    <w:p>
      <w:pPr>
        <w:pStyle w:val="ListParagraph"/>
        <w:numPr>
          <w:ilvl w:val="0"/>
          <w:numId w:val="3"/>
        </w:numPr>
        <w:rPr/>
      </w:pPr>
      <w:r>
        <w:rPr/>
        <w:t>Zárthelyi dolgozat</w:t>
      </w:r>
    </w:p>
    <w:p>
      <w:pPr>
        <w:pStyle w:val="ListParagraph"/>
        <w:numPr>
          <w:ilvl w:val="0"/>
          <w:numId w:val="3"/>
        </w:numPr>
        <w:rPr/>
      </w:pPr>
      <w:r>
        <w:rPr/>
        <w:t>Zárthelyi dolgozat pótlás/javítás</w:t>
      </w:r>
    </w:p>
    <w:p>
      <w:pPr>
        <w:pStyle w:val="ListParagraph"/>
        <w:ind w:right="0" w:hanging="0"/>
        <w:rPr/>
      </w:pPr>
      <w:r>
        <w:rPr/>
      </w:r>
    </w:p>
    <w:p>
      <w:pPr>
        <w:pStyle w:val="ListParagraph"/>
        <w:ind w:left="360" w:right="0" w:hanging="0"/>
        <w:rPr/>
      </w:pPr>
      <w:r>
        <w:rPr/>
      </w:r>
    </w:p>
    <w:p>
      <w:pPr>
        <w:pStyle w:val="Cmsor2"/>
        <w:rPr/>
      </w:pPr>
      <w:r>
        <w:rPr/>
        <w:t xml:space="preserve">Számonkérési és értékelési rendszere </w:t>
      </w:r>
    </w:p>
    <w:p>
      <w:pPr>
        <w:pStyle w:val="Normal"/>
        <w:widowControl w:val="false"/>
        <w:rPr/>
      </w:pPr>
      <w:r>
        <w:rPr>
          <w:rFonts w:ascii="Cambria" w:hAnsi="Cambria"/>
          <w:i/>
          <w:sz w:val="24"/>
          <w:szCs w:val="24"/>
        </w:rPr>
        <w:t>Részvétel: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Normal"/>
        <w:widowControl w:val="false"/>
        <w:rPr>
          <w:rFonts w:ascii="Cambria" w:hAnsi="Cambria"/>
        </w:rPr>
      </w:pPr>
      <w:r>
        <w:rPr>
          <w:rFonts w:ascii="Cambria" w:hAnsi="Cambria"/>
        </w:rPr>
        <w:t>A TVSZ szerint a részvétel kötelező a foglalkozások 70%-án</w:t>
      </w:r>
    </w:p>
    <w:p>
      <w:pPr>
        <w:pStyle w:val="Normal"/>
        <w:widowControl w:val="false"/>
        <w:rPr/>
      </w:pPr>
      <w:r>
        <w:rPr>
          <w:rFonts w:ascii="Cambria" w:hAnsi="Cambria"/>
          <w:i/>
          <w:sz w:val="24"/>
          <w:szCs w:val="24"/>
        </w:rPr>
        <w:t>Aláírás / Félévközi jegy feltétele</w:t>
      </w:r>
      <w:r>
        <w:rPr>
          <w:rFonts w:ascii="Cambria" w:hAnsi="Cambria"/>
          <w:sz w:val="24"/>
          <w:szCs w:val="24"/>
        </w:rPr>
        <w:t>:</w:t>
      </w:r>
    </w:p>
    <w:p>
      <w:pPr>
        <w:pStyle w:val="Normal"/>
        <w:widowControl w:val="false"/>
        <w:rPr/>
      </w:pPr>
      <w:r>
        <w:rPr>
          <w:rFonts w:ascii="Cambria" w:hAnsi="Cambria"/>
        </w:rPr>
        <w:t xml:space="preserve">Az aláírás feltétele a sikeresen teljesített </w:t>
      </w:r>
      <w:r>
        <w:rPr>
          <w:rFonts w:ascii="Cambria" w:hAnsi="Cambria"/>
        </w:rPr>
        <w:t>szorgalmi időszak:</w:t>
      </w:r>
    </w:p>
    <w:p>
      <w:pPr>
        <w:pStyle w:val="Normal"/>
        <w:widowControl w:val="fals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zárthelyi dolgozat (ZH). Minimum követelmény 51%</w:t>
      </w:r>
    </w:p>
    <w:p>
      <w:pPr>
        <w:pStyle w:val="Normal"/>
        <w:widowControl w:val="fals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hallgatói prezentáció (építészmérnöki vállalkozás bemutatása)</w:t>
      </w:r>
    </w:p>
    <w:p>
      <w:pPr>
        <w:pStyle w:val="Normal"/>
        <w:widowControl w:val="false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kutatási feladat</w:t>
      </w:r>
    </w:p>
    <w:p>
      <w:pPr>
        <w:pStyle w:val="Normal"/>
        <w:widowControl w:val="false"/>
        <w:numPr>
          <w:ilvl w:val="0"/>
          <w:numId w:val="4"/>
        </w:numPr>
        <w:rPr/>
      </w:pPr>
      <w:r>
        <w:rPr>
          <w:rFonts w:ascii="Cambria" w:hAnsi="Cambria"/>
        </w:rPr>
        <w:t>p</w:t>
      </w:r>
      <w:r>
        <w:rPr>
          <w:rFonts w:ascii="Cambria" w:hAnsi="Cambria"/>
        </w:rPr>
        <w:t>rojektfeladat elkészítése</w:t>
      </w:r>
    </w:p>
    <w:p>
      <w:pPr>
        <w:pStyle w:val="Normal"/>
        <w:widowControl w:val="false"/>
        <w:rPr/>
      </w:pPr>
      <w:r>
        <w:rPr>
          <w:rFonts w:ascii="Cambria" w:hAnsi="Cambria"/>
          <w:i/>
          <w:sz w:val="24"/>
          <w:szCs w:val="24"/>
        </w:rPr>
        <w:t>Vizsga</w:t>
      </w:r>
      <w:r>
        <w:rPr>
          <w:rFonts w:ascii="Cambria" w:hAnsi="Cambria"/>
          <w:sz w:val="24"/>
          <w:szCs w:val="24"/>
        </w:rPr>
        <w:t>:</w:t>
      </w:r>
    </w:p>
    <w:p>
      <w:pPr>
        <w:pStyle w:val="Normal"/>
        <w:widowControl w:val="false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vizsga írásbeli. Témakörök: féléves témák. Minimum követelmény: 51%</w:t>
      </w:r>
    </w:p>
    <w:p>
      <w:pPr>
        <w:pStyle w:val="Normal"/>
        <w:widowControl w:val="false"/>
        <w:rPr/>
      </w:pPr>
      <w:r>
        <w:rPr>
          <w:rFonts w:ascii="Cambria" w:hAnsi="Cambria"/>
          <w:i/>
          <w:sz w:val="24"/>
          <w:szCs w:val="24"/>
        </w:rPr>
        <w:t>Az érdemjegy kialakításának módja</w:t>
      </w:r>
      <w:r>
        <w:rPr>
          <w:rFonts w:ascii="Cambria" w:hAnsi="Cambria"/>
          <w:sz w:val="24"/>
          <w:szCs w:val="24"/>
        </w:rPr>
        <w:t>:</w:t>
      </w:r>
    </w:p>
    <w:p>
      <w:pPr>
        <w:pStyle w:val="Normal"/>
        <w:widowControl w:val="fals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(ZH+vizsga)/2</w:t>
      </w:r>
    </w:p>
    <w:p>
      <w:pPr>
        <w:pStyle w:val="Normal"/>
        <w:widowControl w:val="false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0  – 50%</w:t>
        <w:tab/>
        <w:t>elégtelen(1)</w:t>
        <w:br/>
        <w:t>51 – 65%</w:t>
        <w:tab/>
        <w:t>elégséges(2)</w:t>
        <w:br/>
        <w:t>66 – 75%</w:t>
        <w:tab/>
        <w:t>közepes(3)</w:t>
        <w:br/>
        <w:t>76 – 85%</w:t>
        <w:tab/>
        <w:t>jó(4)</w:t>
        <w:br/>
        <w:t>86 – 100%</w:t>
        <w:tab/>
        <w:t>jeles (5)</w:t>
      </w:r>
    </w:p>
    <w:p>
      <w:pPr>
        <w:pStyle w:val="Normal"/>
        <w:widowControl w:val="false"/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msor2"/>
        <w:rPr/>
      </w:pPr>
      <w:r>
        <w:rPr/>
        <w:t>Kötelező és ajánlott irodalom</w:t>
      </w:r>
    </w:p>
    <w:p>
      <w:pPr>
        <w:pStyle w:val="ListParagraph"/>
        <w:numPr>
          <w:ilvl w:val="0"/>
          <w:numId w:val="2"/>
        </w:numPr>
        <w:rPr/>
      </w:pPr>
      <w:r>
        <w:rPr/>
        <w:t>Project Management Institute (2016): Projektmenedzsment útmutató (5. kiadás). Akadémiai Kiadó, Budapest.</w:t>
      </w:r>
    </w:p>
    <w:p>
      <w:pPr>
        <w:pStyle w:val="ListParagraph"/>
        <w:numPr>
          <w:ilvl w:val="0"/>
          <w:numId w:val="2"/>
        </w:numPr>
        <w:rPr/>
      </w:pPr>
      <w:r>
        <w:rPr/>
        <w:t>Eric Verzuh (2005): Projektmenedzsment. HVG Kiadó, Budapest.</w:t>
      </w:r>
    </w:p>
    <w:p>
      <w:pPr>
        <w:pStyle w:val="ListParagraph"/>
        <w:numPr>
          <w:ilvl w:val="0"/>
          <w:numId w:val="2"/>
        </w:numPr>
        <w:rPr/>
      </w:pPr>
      <w:r>
        <w:rPr/>
        <w:t>Vecsenyi János (2009): Kisvállalkozások indítása és működtetése. Perfekt Kiadó, Budapest.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851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ListParagraph"/>
        <w:numPr>
          <w:ilvl w:val="0"/>
          <w:numId w:val="2"/>
        </w:numPr>
        <w:rPr/>
      </w:pPr>
      <w:r>
        <w:rPr/>
        <w:t>Vecsenyi János (2003): Vállalkozás – Az ötlettől az újrakezdésig. Aula Kiadó, Budapest.</w:t>
      </w:r>
    </w:p>
    <w:p>
      <w:pPr>
        <w:pStyle w:val="Cmsor2"/>
        <w:shd w:fill="DBE5F1" w:val="clear"/>
        <w:rPr/>
      </w:pPr>
      <w:r>
        <w:rPr/>
        <w:t>Ütemezés</w:t>
      </w:r>
    </w:p>
    <w:tbl>
      <w:tblPr>
        <w:tblW w:w="13490" w:type="dxa"/>
        <w:jc w:val="left"/>
        <w:tblInd w:w="118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300"/>
        <w:gridCol w:w="326"/>
        <w:gridCol w:w="1749"/>
        <w:gridCol w:w="461"/>
        <w:gridCol w:w="32"/>
        <w:gridCol w:w="444"/>
        <w:gridCol w:w="50"/>
        <w:gridCol w:w="414"/>
        <w:gridCol w:w="79"/>
        <w:gridCol w:w="396"/>
        <w:gridCol w:w="97"/>
        <w:gridCol w:w="366"/>
        <w:gridCol w:w="128"/>
        <w:gridCol w:w="345"/>
        <w:gridCol w:w="149"/>
        <w:gridCol w:w="330"/>
        <w:gridCol w:w="163"/>
        <w:gridCol w:w="311"/>
        <w:gridCol w:w="183"/>
        <w:gridCol w:w="293"/>
        <w:gridCol w:w="200"/>
        <w:gridCol w:w="276"/>
        <w:gridCol w:w="217"/>
        <w:gridCol w:w="254"/>
        <w:gridCol w:w="240"/>
        <w:gridCol w:w="219"/>
        <w:gridCol w:w="275"/>
        <w:gridCol w:w="166"/>
        <w:gridCol w:w="328"/>
        <w:gridCol w:w="419"/>
        <w:gridCol w:w="74"/>
        <w:gridCol w:w="494"/>
        <w:gridCol w:w="505"/>
        <w:gridCol w:w="504"/>
        <w:gridCol w:w="557"/>
        <w:gridCol w:w="58"/>
        <w:gridCol w:w="514"/>
        <w:gridCol w:w="29"/>
        <w:gridCol w:w="545"/>
      </w:tblGrid>
      <w:tr>
        <w:trPr>
          <w:trHeight w:val="465" w:hRule="atLeast"/>
        </w:trPr>
        <w:tc>
          <w:tcPr>
            <w:tcW w:w="1626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7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74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3"/>
              <w:spacing w:before="300" w:after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3"/>
              <w:spacing w:before="300" w:after="0"/>
              <w:jc w:val="center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Vizsgaidőszak</w:t>
            </w:r>
          </w:p>
        </w:tc>
      </w:tr>
      <w:tr>
        <w:trPr>
          <w:trHeight w:val="300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msor2"/>
              <w:shd w:fill="DBE5F1" w:val="clear"/>
              <w:spacing w:before="200" w:after="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II. félév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>
        <w:trPr>
          <w:trHeight w:val="532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554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548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3" w:type="dxa"/>
            <w:gridSpan w:val="2"/>
            <w:tcBorders>
              <w:top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45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</w:tr>
      <w:tr>
        <w:trPr>
          <w:trHeight w:val="433" w:hRule="atLeast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5" w:type="dxa"/>
            <w:tcBorders>
              <w:right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>
        <w:trPr>
          <w:trHeight w:val="414" w:hRule="atLeast"/>
        </w:trPr>
        <w:tc>
          <w:tcPr>
            <w:tcW w:w="13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200" w:after="200"/>
              <w:jc w:val="left"/>
              <w:rPr/>
            </w:pPr>
            <w:r>
              <w:rPr/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5" w:type="dxa"/>
            <w:tcBorders>
              <w:right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>
        <w:trPr>
          <w:trHeight w:val="420" w:hRule="atLeast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615" w:type="dxa"/>
            <w:gridSpan w:val="2"/>
            <w:tcBorders>
              <w:left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5" w:type="dxa"/>
            <w:tcBorders>
              <w:right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>
        <w:trPr>
          <w:trHeight w:val="364" w:hRule="atLeast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170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>
        <w:trPr>
          <w:trHeight w:val="300" w:hRule="atLeast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b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highlight w:val="yellow"/>
                <w:lang w:eastAsia="hu-HU"/>
              </w:rPr>
            </w:r>
          </w:p>
        </w:tc>
        <w:tc>
          <w:tcPr>
            <w:tcW w:w="1703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200" w:after="20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mbria" w:hAnsi="Cambria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C000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a /fj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</w:r>
          </w:p>
        </w:tc>
        <w:tc>
          <w:tcPr>
            <w:tcW w:w="1703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BFBFBF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200" w:after="20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3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00" w:after="0"/>
              <w:jc w:val="right"/>
              <w:rPr>
                <w:rFonts w:ascii="Calibri" w:hAnsi="Calibri" w:eastAsia="Times New Roman" w:cs="Times New Roman"/>
                <w:b/>
                <w:b/>
                <w:color w:val="000000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1" w:type="dxa"/>
            <w:tcBorders>
              <w:left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6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64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5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63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3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9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4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6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76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lang w:eastAsia="hu-HU"/>
              </w:rPr>
            </w:pPr>
            <w:r>
              <w:rPr>
                <w:rFonts w:eastAsia="Times New Roman" w:cs="Times New Roman"/>
                <w:lang w:eastAsia="hu-HU"/>
              </w:rPr>
            </w:r>
          </w:p>
        </w:tc>
        <w:tc>
          <w:tcPr>
            <w:tcW w:w="471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59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441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747" w:type="dxa"/>
            <w:gridSpan w:val="2"/>
            <w:tcBorders/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568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BFBFBF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jc w:val="center"/>
              <w:rPr>
                <w:rFonts w:ascii="Cambria" w:hAnsi="Cambria" w:eastAsia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 w:ascii="Cambria" w:hAnsi="Cambria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200" w:after="0"/>
              <w:rPr>
                <w:rFonts w:ascii="Calibri" w:hAnsi="Calibri" w:eastAsia="Times New Roman" w:cs="Times New Roman"/>
                <w:color w:val="000000"/>
                <w:lang w:eastAsia="hu-HU"/>
              </w:rPr>
            </w:pPr>
            <w:r>
              <w:rPr>
                <w:rFonts w:eastAsia="Times New Roman" w:cs="Times New Roman"/>
                <w:color w:val="000000"/>
                <w:lang w:eastAsia="hu-HU"/>
              </w:rPr>
            </w:r>
          </w:p>
        </w:tc>
      </w:tr>
    </w:tbl>
    <w:p>
      <w:pPr>
        <w:pStyle w:val="Normal"/>
        <w:spacing w:lineRule="auto" w:line="240" w:before="0" w:after="200"/>
        <w:rPr>
          <w:sz w:val="18"/>
          <w:szCs w:val="18"/>
        </w:rPr>
      </w:pPr>
      <w:r>
        <w:rPr>
          <w:sz w:val="18"/>
          <w:szCs w:val="18"/>
        </w:rPr>
        <w:t>2020. 02. 04.</w:t>
      </w:r>
    </w:p>
    <w:p>
      <w:pPr>
        <w:pStyle w:val="Normal"/>
        <w:spacing w:lineRule="auto" w:line="240"/>
        <w:ind w:left="0" w:right="0" w:firstLine="7797"/>
        <w:jc w:val="center"/>
        <w:rPr>
          <w:sz w:val="18"/>
          <w:szCs w:val="18"/>
        </w:rPr>
      </w:pPr>
      <w:r>
        <w:rPr>
          <w:sz w:val="18"/>
          <w:szCs w:val="18"/>
        </w:rPr>
        <w:t>………</w:t>
      </w:r>
      <w:r>
        <w:rPr>
          <w:sz w:val="18"/>
          <w:szCs w:val="18"/>
        </w:rPr>
        <w:t>Szűcs Krisztián………..</w:t>
      </w:r>
    </w:p>
    <w:p>
      <w:pPr>
        <w:pStyle w:val="Normal"/>
        <w:spacing w:before="200" w:after="200"/>
        <w:ind w:left="0" w:right="0" w:firstLine="7797"/>
        <w:jc w:val="center"/>
        <w:rPr>
          <w:sz w:val="18"/>
          <w:szCs w:val="18"/>
        </w:rPr>
      </w:pPr>
      <w:r>
        <w:rPr>
          <w:sz w:val="18"/>
          <w:szCs w:val="18"/>
        </w:rPr>
        <w:t>tantárgyfelelős</w:t>
      </w:r>
    </w:p>
    <w:sectPr>
      <w:footerReference w:type="default" r:id="rId3"/>
      <w:type w:val="nextPage"/>
      <w:pgSz w:orient="landscape" w:w="16838" w:h="11906"/>
      <w:pgMar w:left="1417" w:right="1417" w:header="0" w:top="1135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spacing w:before="20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Llb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spacing w:before="200" w:after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Cs w:val="22"/>
        <w:lang w:val="hu-H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200" w:after="200"/>
      <w:jc w:val="left"/>
    </w:pPr>
    <w:rPr>
      <w:rFonts w:ascii="Calibri" w:hAnsi="Calibri"/>
      <w:color w:val="auto"/>
      <w:kern w:val="0"/>
      <w:sz w:val="20"/>
      <w:szCs w:val="20"/>
      <w:lang w:val="hu-HU" w:eastAsia="en-US" w:bidi="ar-SA"/>
    </w:rPr>
  </w:style>
  <w:style w:type="paragraph" w:styleId="Cmsor1">
    <w:name w:val="Heading 1"/>
    <w:basedOn w:val="Normal"/>
    <w:qFormat/>
    <w:pPr>
      <w:numPr>
        <w:ilvl w:val="0"/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fill="4F81BD" w:val="clear"/>
      <w:spacing w:before="200"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Cmsor2">
    <w:name w:val="Heading 2"/>
    <w:basedOn w:val="Normal"/>
    <w:qFormat/>
    <w:pPr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fill="DBE5F1" w:val="clear"/>
      <w:spacing w:before="200"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al"/>
    <w:qFormat/>
    <w:pPr>
      <w:numPr>
        <w:ilvl w:val="0"/>
        <w:numId w:val="0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Cmsor4">
    <w:name w:val="Heading 4"/>
    <w:basedOn w:val="Normal"/>
    <w:qFormat/>
    <w:pPr>
      <w:numPr>
        <w:ilvl w:val="0"/>
        <w:numId w:val="0"/>
      </w:num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Cmsor5">
    <w:name w:val="Heading 5"/>
    <w:basedOn w:val="Normal"/>
    <w:qFormat/>
    <w:pPr>
      <w:numPr>
        <w:ilvl w:val="0"/>
        <w:numId w:val="0"/>
      </w:num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Cmsor6">
    <w:name w:val="Heading 6"/>
    <w:basedOn w:val="Normal"/>
    <w:qFormat/>
    <w:pPr>
      <w:numPr>
        <w:ilvl w:val="0"/>
        <w:numId w:val="0"/>
      </w:num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Cmsor7">
    <w:name w:val="Heading 7"/>
    <w:basedOn w:val="Normal"/>
    <w:qFormat/>
    <w:pPr>
      <w:numPr>
        <w:ilvl w:val="0"/>
        <w:numId w:val="0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Cmsor8">
    <w:name w:val="Heading 8"/>
    <w:basedOn w:val="Normal"/>
    <w:qFormat/>
    <w:pPr>
      <w:numPr>
        <w:ilvl w:val="0"/>
        <w:numId w:val="0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al"/>
    <w:qFormat/>
    <w:pPr>
      <w:numPr>
        <w:ilvl w:val="0"/>
        <w:numId w:val="0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>
    <w:name w:val="Default Paragraph Font"/>
    <w:qFormat/>
    <w:rPr/>
  </w:style>
  <w:style w:type="character" w:styleId="LbjegyzetszvegChar">
    <w:name w:val="Lábjegyzetszöveg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horgony">
    <w:name w:val="Lábjegyzet-horgony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msor2Char">
    <w:name w:val="Címsor 2 Char"/>
    <w:basedOn w:val="DefaultParagraphFont"/>
    <w:qFormat/>
    <w:rPr>
      <w:caps/>
      <w:spacing w:val="15"/>
      <w:highlight w:val="blue"/>
    </w:rPr>
  </w:style>
  <w:style w:type="character" w:styleId="Cmsor3Char">
    <w:name w:val="Címsor 3 Char"/>
    <w:basedOn w:val="DefaultParagraphFont"/>
    <w:qFormat/>
    <w:rPr>
      <w:caps/>
      <w:color w:val="243F60"/>
      <w:spacing w:val="15"/>
    </w:rPr>
  </w:style>
  <w:style w:type="character" w:styleId="Cmsor1Char">
    <w:name w:val="Címsor 1 Char"/>
    <w:basedOn w:val="DefaultParagraphFont"/>
    <w:qFormat/>
    <w:rPr>
      <w:caps/>
      <w:color w:val="FFFFFF"/>
      <w:spacing w:val="15"/>
      <w:highlight w:val="darkBlue"/>
    </w:rPr>
  </w:style>
  <w:style w:type="character" w:styleId="LfejChar">
    <w:name w:val="Élőfej Char"/>
    <w:basedOn w:val="DefaultParagraphFont"/>
    <w:qFormat/>
    <w:rPr/>
  </w:style>
  <w:style w:type="character" w:styleId="LlbChar">
    <w:name w:val="Élőláb Char"/>
    <w:basedOn w:val="DefaultParagraphFont"/>
    <w:qFormat/>
    <w:rPr/>
  </w:style>
  <w:style w:type="character" w:styleId="Cmsor4Char">
    <w:name w:val="Címsor 4 Char"/>
    <w:basedOn w:val="DefaultParagraphFont"/>
    <w:qFormat/>
    <w:rPr>
      <w:caps/>
      <w:color w:val="365F91"/>
      <w:spacing w:val="10"/>
    </w:rPr>
  </w:style>
  <w:style w:type="character" w:styleId="Cmsor5Char">
    <w:name w:val="Címsor 5 Char"/>
    <w:basedOn w:val="DefaultParagraphFont"/>
    <w:qFormat/>
    <w:rPr>
      <w:caps/>
      <w:color w:val="365F91"/>
      <w:spacing w:val="10"/>
    </w:rPr>
  </w:style>
  <w:style w:type="character" w:styleId="Cmsor6Char">
    <w:name w:val="Címsor 6 Char"/>
    <w:basedOn w:val="DefaultParagraphFont"/>
    <w:qFormat/>
    <w:rPr>
      <w:caps/>
      <w:color w:val="365F91"/>
      <w:spacing w:val="10"/>
    </w:rPr>
  </w:style>
  <w:style w:type="character" w:styleId="Cmsor7Char">
    <w:name w:val="Címsor 7 Char"/>
    <w:basedOn w:val="DefaultParagraphFont"/>
    <w:qFormat/>
    <w:rPr>
      <w:caps/>
      <w:color w:val="365F91"/>
      <w:spacing w:val="10"/>
    </w:rPr>
  </w:style>
  <w:style w:type="character" w:styleId="Cmsor8Char">
    <w:name w:val="Címsor 8 Char"/>
    <w:basedOn w:val="DefaultParagraphFont"/>
    <w:qFormat/>
    <w:rPr>
      <w:caps/>
      <w:spacing w:val="10"/>
      <w:sz w:val="18"/>
      <w:szCs w:val="18"/>
    </w:rPr>
  </w:style>
  <w:style w:type="character" w:styleId="Cmsor9Char">
    <w:name w:val="Címsor 9 Char"/>
    <w:basedOn w:val="DefaultParagraphFont"/>
    <w:qFormat/>
    <w:rPr>
      <w:i/>
      <w:caps/>
      <w:spacing w:val="10"/>
      <w:sz w:val="18"/>
      <w:szCs w:val="18"/>
    </w:rPr>
  </w:style>
  <w:style w:type="character" w:styleId="CmChar">
    <w:name w:val="Cím Char"/>
    <w:basedOn w:val="DefaultParagraphFont"/>
    <w:qFormat/>
    <w:rPr>
      <w:caps/>
      <w:color w:val="4F81BD"/>
      <w:spacing w:val="10"/>
      <w:kern w:val="2"/>
      <w:sz w:val="52"/>
      <w:szCs w:val="52"/>
    </w:rPr>
  </w:style>
  <w:style w:type="character" w:styleId="AlcmChar">
    <w:name w:val="Alcím Char"/>
    <w:basedOn w:val="DefaultParagraphFont"/>
    <w:qFormat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angslyozs">
    <w:name w:val="Hangsúlyozás"/>
    <w:qFormat/>
    <w:rPr>
      <w:caps/>
      <w:color w:val="243F60"/>
      <w:spacing w:val="5"/>
    </w:rPr>
  </w:style>
  <w:style w:type="character" w:styleId="IdzetChar">
    <w:name w:val="Idézet Char"/>
    <w:basedOn w:val="DefaultParagraphFont"/>
    <w:qFormat/>
    <w:rPr>
      <w:i/>
      <w:iCs/>
      <w:sz w:val="20"/>
      <w:szCs w:val="20"/>
    </w:rPr>
  </w:style>
  <w:style w:type="character" w:styleId="KiemeltidzetChar">
    <w:name w:val="Kiemelt idézet Char"/>
    <w:basedOn w:val="DefaultParagraphFont"/>
    <w:qFormat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character" w:styleId="NincstrkzChar">
    <w:name w:val="Nincs térköz Char"/>
    <w:basedOn w:val="DefaultParagraphFont"/>
    <w:qFormat/>
    <w:rPr>
      <w:sz w:val="20"/>
      <w:szCs w:val="20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200" w:after="200"/>
      <w:ind w:left="720" w:right="0" w:hanging="0"/>
      <w:contextualSpacing/>
    </w:pPr>
    <w:rPr/>
  </w:style>
  <w:style w:type="paragraph" w:styleId="Lbjegyzet">
    <w:name w:val="Footnote Text"/>
    <w:basedOn w:val="Normal"/>
    <w:pPr>
      <w:spacing w:lineRule="auto" w:line="240" w:before="200" w:after="0"/>
    </w:pPr>
    <w:rPr>
      <w:rFonts w:ascii="Times New Roman" w:hAnsi="Times New Roman" w:eastAsia="Times New Roman" w:cs="Times New Roman"/>
      <w:lang w:eastAsia="hu-HU"/>
    </w:rPr>
  </w:style>
  <w:style w:type="paragraph" w:styleId="Lfej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200" w:after="0"/>
    </w:pPr>
    <w:rPr/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200" w:after="0"/>
    </w:pPr>
    <w:rPr/>
  </w:style>
  <w:style w:type="paragraph" w:styleId="Caption">
    <w:name w:val="caption"/>
    <w:basedOn w:val="Normal"/>
    <w:qFormat/>
    <w:pPr/>
    <w:rPr>
      <w:b/>
      <w:bCs/>
      <w:color w:val="365F91"/>
      <w:sz w:val="16"/>
      <w:szCs w:val="16"/>
    </w:rPr>
  </w:style>
  <w:style w:type="paragraph" w:styleId="Cm">
    <w:name w:val="Title"/>
    <w:basedOn w:val="Normal"/>
    <w:qFormat/>
    <w:pPr>
      <w:spacing w:before="720" w:after="200"/>
    </w:pPr>
    <w:rPr>
      <w:caps/>
      <w:color w:val="4F81BD"/>
      <w:spacing w:val="10"/>
      <w:kern w:val="2"/>
      <w:sz w:val="52"/>
      <w:szCs w:val="52"/>
    </w:rPr>
  </w:style>
  <w:style w:type="paragraph" w:styleId="Alcm">
    <w:name w:val="Subtitle"/>
    <w:basedOn w:val="Normal"/>
    <w:qFormat/>
    <w:pPr>
      <w:spacing w:lineRule="auto" w:line="240" w:before="200" w:after="1000"/>
    </w:pPr>
    <w:rPr>
      <w:caps/>
      <w:color w:val="595959"/>
      <w:spacing w:val="10"/>
      <w:sz w:val="24"/>
      <w:szCs w:val="24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Quote">
    <w:name w:val="Quote"/>
    <w:basedOn w:val="Normal"/>
    <w:qFormat/>
    <w:pPr/>
    <w:rPr>
      <w:i/>
      <w:iCs/>
    </w:rPr>
  </w:style>
  <w:style w:type="paragraph" w:styleId="IntenseQuote">
    <w:name w:val="Intense Quote"/>
    <w:basedOn w:val="Normal"/>
    <w:qFormat/>
    <w:pPr>
      <w:pBdr>
        <w:top w:val="single" w:sz="4" w:space="10" w:color="4F81BD"/>
        <w:left w:val="single" w:sz="4" w:space="10" w:color="4F81BD"/>
      </w:pBdr>
      <w:spacing w:before="200" w:after="0"/>
      <w:ind w:left="1296" w:right="1152" w:hanging="0"/>
      <w:jc w:val="both"/>
    </w:pPr>
    <w:rPr>
      <w:i/>
      <w:iCs/>
      <w:color w:val="4F81BD"/>
    </w:rPr>
  </w:style>
  <w:style w:type="paragraph" w:styleId="TOCHeading">
    <w:name w:val="TOC Heading"/>
    <w:basedOn w:val="Cmsor1"/>
    <w:qFormat/>
    <w:pPr>
      <w:shd w:fill="4F81BD" w:val="clear"/>
    </w:pPr>
    <w:rPr>
      <w:lang w:bidi="en-US"/>
    </w:rPr>
  </w:style>
  <w:style w:type="paragraph" w:styleId="Tblzattartalom">
    <w:name w:val="Táblázattartalom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LibreOffice/6.0.7.3$Linux_X86_64 LibreOffice_project/00m0$Build-3</Application>
  <Pages>4</Pages>
  <Words>450</Words>
  <Characters>3127</Characters>
  <CharactersWithSpaces>3459</CharactersWithSpaces>
  <Paragraphs>143</Paragraphs>
  <Company>PTE PMMK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2020-02-04T13:38:00Z</dcterms:created>
  <dc:creator>JAI</dc:creator>
  <dc:description/>
  <dc:language>hu-HU</dc:language>
  <cp:lastModifiedBy/>
  <dcterms:modified xsi:type="dcterms:W3CDTF">2020-02-05T17:35:42Z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PTE PMMK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