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hd w:fill="4F81BD" w:val="clear"/>
        <w:spacing w:before="200" w:after="0"/>
        <w:rPr/>
      </w:pPr>
      <w:r>
        <w:rPr/>
        <w:t xml:space="preserve">Tantárgyi tematika és teljesítési követelmények </w:t>
        <w:br/>
        <w:t>2019/2020. II. félév</w:t>
      </w:r>
    </w:p>
    <w:tbl>
      <w:tblPr>
        <w:tblStyle w:val="GridTable7Colorful"/>
        <w:tblW w:w="485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41"/>
        <w:gridCol w:w="565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4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top w:val="nil"/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 w:val="false"/>
                <w:b w:val="false"/>
              </w:rPr>
            </w:pPr>
            <w:r>
              <w:rPr>
                <w:rFonts w:ascii="Cambria" w:hAnsi="Cambria" w:asciiTheme="majorHAnsi" w:hAnsiTheme="majorHAnsi"/>
                <w:b/>
                <w:bCs/>
                <w:i/>
                <w:iCs/>
                <w:color w:val="000000"/>
              </w:rPr>
              <w:t>Cím</w:t>
            </w:r>
          </w:p>
        </w:tc>
        <w:tc>
          <w:tcPr>
            <w:tcW w:w="565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top w:val="nil"/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bCs/>
                <w:i/>
                <w:i/>
                <w:iCs/>
                <w:color w:val="000000"/>
              </w:rPr>
            </w:pPr>
            <w:r>
              <w:rPr>
                <w:rFonts w:ascii="Cambria" w:hAnsi="Cambria" w:asciiTheme="majorHAnsi" w:hAnsiTheme="majorHAnsi"/>
                <w:b w:val="false"/>
                <w:bCs/>
                <w:i/>
                <w:iCs/>
                <w:color w:val="000000"/>
                <w:sz w:val="24"/>
                <w:szCs w:val="24"/>
              </w:rPr>
              <w:t>Projekt- és vállalkozásmanagement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Tárgykód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MSE344MLEM</w:t>
            </w:r>
          </w:p>
        </w:tc>
      </w:tr>
      <w:tr>
        <w:trPr/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Heti óraszám: ea/gy/lab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/0/0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Kreditpont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Szak(ok)/ típus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Épít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ész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mérnök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 xml:space="preserve"> BSc (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 xml:space="preserve">.); </w:t>
            </w: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Építőművészet BA (6.); Építészmérnök MSc osztatlan (6.)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Tagozat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Levelező</w:t>
            </w:r>
          </w:p>
        </w:tc>
      </w:tr>
      <w:tr>
        <w:trPr/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Követelmény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Meghirdetés féléve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Előzetes követelmény(ek)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Oktató tanszék(ek)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 w:val="false"/>
                <w:iCs/>
                <w:color w:val="000000"/>
                <w:sz w:val="24"/>
                <w:szCs w:val="24"/>
              </w:rPr>
              <w:t>Mérnöki Ismeretek</w:t>
            </w:r>
          </w:p>
        </w:tc>
      </w:tr>
      <w:tr>
        <w:trPr/>
        <w:tc>
          <w:tcPr>
            <w:tcW w:w="314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</w:rPr>
              <w:t>Tárgyfelelős és oktatók</w:t>
            </w:r>
          </w:p>
        </w:tc>
        <w:tc>
          <w:tcPr>
            <w:tcW w:w="565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right w:val="nil"/>
              <w:insideV w:val="nil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asciiTheme="majorHAnsi" w:hAnsiTheme="majorHAnsi"/>
                <w:b/>
                <w:b/>
                <w:sz w:val="24"/>
                <w:szCs w:val="24"/>
              </w:rPr>
            </w:pPr>
            <w:r>
              <w:rPr>
                <w:rFonts w:ascii="Cambria" w:hAnsi="Cambria" w:asciiTheme="majorHAnsi" w:hAnsiTheme="majorHAnsi"/>
                <w:b/>
                <w:i/>
                <w:iCs/>
                <w:color w:val="000000"/>
                <w:sz w:val="24"/>
                <w:szCs w:val="24"/>
              </w:rPr>
              <w:t>Szűcs Krisztián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célkitűzése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A kurzus célja a projektek menedzselésének vállalkozásokon keresztül történő mérnöki gyakorlatban való megjelenése, elsősorban az építész diszciplína területein. A széleskörű projekt- és vállalkozásmenedzsment ismereteken túl a kurzus fontos eleme, hogy a műszaki tudományokon belül beágyazott módon növelje az egyes társtudományok szinergiáját.</w:t>
      </w:r>
    </w:p>
    <w:p>
      <w:pPr>
        <w:pStyle w:val="Cmsor2"/>
        <w:rPr/>
      </w:pPr>
      <w:r>
        <w:rPr/>
        <w:t xml:space="preserve">Tartalma  </w:t>
      </w:r>
      <w:bookmarkStart w:id="0" w:name="_GoBack"/>
      <w:bookmarkEnd w:id="0"/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A projektmenedzselés- és vállalkozásmenedzselés átfogó ismereteinek megismerése, elsősorban a műszaki tudományterületeken. A vállalkozások fogalmi rendszere, külső és belső környezetének feltérképezése. Vállalati stratégiák kialakítása és szerepe. Az egyes vállalati funkciók megismerése. Az innováció megjelenése az egyes projektekben. A projektmenedzselt vállalatok versenyképességének növelése.  Az egyes marketing, HR, logisztika, termelés és minőség rendszerek rövid ismertetése. A vállalati válságkezelés problematikái. A projektfinanszírozás kérdéskörei.</w:t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i/>
          <w:i/>
        </w:rPr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Témakörök:</w:t>
      </w:r>
    </w:p>
    <w:p>
      <w:pPr>
        <w:pStyle w:val="Normal"/>
        <w:rPr/>
      </w:pPr>
      <w:r>
        <w:rPr/>
        <w:t>Előadás:</w:t>
      </w:r>
    </w:p>
    <w:p>
      <w:pPr>
        <w:pStyle w:val="ListParagraph"/>
        <w:numPr>
          <w:ilvl w:val="0"/>
          <w:numId w:val="2"/>
        </w:numPr>
        <w:rPr/>
      </w:pPr>
      <w:r>
        <w:rPr/>
        <w:t>Regisztráció, tantárgyi követelmények, bevezetés. A tematika ismertetése. A vállalkozások fogalmi rendszere.</w:t>
      </w:r>
    </w:p>
    <w:p>
      <w:pPr>
        <w:pStyle w:val="ListParagraph"/>
        <w:numPr>
          <w:ilvl w:val="0"/>
          <w:numId w:val="2"/>
        </w:numPr>
        <w:rPr/>
      </w:pPr>
      <w:r>
        <w:rPr/>
        <w:t>Az egyes vállalati funkciók megismerése, külső és belső környezetének feltérképezése</w:t>
      </w:r>
    </w:p>
    <w:p>
      <w:pPr>
        <w:pStyle w:val="ListParagraph"/>
        <w:numPr>
          <w:ilvl w:val="0"/>
          <w:numId w:val="2"/>
        </w:numPr>
        <w:rPr/>
      </w:pPr>
      <w:r>
        <w:rPr/>
        <w:t>Projektirányítás menedzselése</w:t>
      </w:r>
    </w:p>
    <w:p>
      <w:pPr>
        <w:pStyle w:val="ListParagraph"/>
        <w:numPr>
          <w:ilvl w:val="0"/>
          <w:numId w:val="2"/>
        </w:numPr>
        <w:rPr/>
      </w:pPr>
      <w:r>
        <w:rPr/>
        <w:t>A projektfinanszírozás főbb területei</w:t>
      </w:r>
    </w:p>
    <w:p>
      <w:pPr>
        <w:pStyle w:val="ListParagraph"/>
        <w:numPr>
          <w:ilvl w:val="0"/>
          <w:numId w:val="2"/>
        </w:numPr>
        <w:rPr/>
      </w:pPr>
      <w:r>
        <w:rPr/>
        <w:t>ZH</w:t>
      </w:r>
    </w:p>
    <w:p>
      <w:pPr>
        <w:pStyle w:val="Normal"/>
        <w:rPr/>
      </w:pPr>
      <w:r>
        <w:rPr/>
      </w:r>
    </w:p>
    <w:p>
      <w:pPr>
        <w:pStyle w:val="Cmsor2"/>
        <w:rPr>
          <w:rFonts w:ascii="Cambria" w:hAnsi="Cambria" w:asciiTheme="majorHAnsi" w:hAnsiTheme="majorHAnsi"/>
          <w:sz w:val="24"/>
          <w:szCs w:val="24"/>
        </w:rPr>
      </w:pPr>
      <w:r>
        <w:rPr/>
        <w:t xml:space="preserve">Számonkérési és értékelési rendszere </w:t>
      </w:r>
    </w:p>
    <w:p>
      <w:pPr>
        <w:pStyle w:val="Normal"/>
        <w:widowControl w:val="false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Részvétel:</w:t>
      </w:r>
      <w:r>
        <w:rPr>
          <w:rFonts w:ascii="Cambria" w:hAnsi="Cambria" w:asciiTheme="majorHAnsi" w:hAnsiTheme="majorHAnsi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A TVSZ szerint a részvétel kötelező a foglalkozások 70%-án</w:t>
      </w:r>
    </w:p>
    <w:p>
      <w:pPr>
        <w:pStyle w:val="Normal"/>
        <w:widowControl w:val="false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Aláírás / Félévközi jegy feltétele</w:t>
      </w:r>
      <w:r>
        <w:rPr>
          <w:rFonts w:ascii="Cambria" w:hAnsi="Cambria" w:asciiTheme="majorHAnsi" w:hAnsiTheme="majorHAnsi"/>
          <w:sz w:val="24"/>
          <w:szCs w:val="24"/>
        </w:rPr>
        <w:t>:</w:t>
      </w:r>
    </w:p>
    <w:p>
      <w:pPr>
        <w:pStyle w:val="Normal"/>
        <w:widowControl w:val="false"/>
        <w:rPr/>
      </w:pPr>
      <w:r>
        <w:rPr>
          <w:rFonts w:ascii="Cambria" w:hAnsi="Cambria" w:asciiTheme="majorHAnsi" w:hAnsiTheme="majorHAnsi"/>
        </w:rPr>
        <w:t xml:space="preserve">Az aláírás feltétele a sikeresen teljesített </w:t>
      </w:r>
      <w:r>
        <w:rPr>
          <w:rFonts w:ascii="Cambria" w:hAnsi="Cambria" w:asciiTheme="majorHAnsi" w:hAnsiTheme="majorHAnsi"/>
        </w:rPr>
        <w:t>szorgalmi időszak: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</w:rPr>
        <w:t>zárthelyi dolgozat (ZH). Minimum követelmény 51%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</w:rPr>
        <w:t>hallgatói prezentáció (építészmérnöki vállalkozás bemutatása)</w:t>
      </w:r>
    </w:p>
    <w:p>
      <w:pPr>
        <w:pStyle w:val="Normal"/>
        <w:widowControl w:val="false"/>
        <w:numPr>
          <w:ilvl w:val="0"/>
          <w:numId w:val="3"/>
        </w:numPr>
        <w:rPr/>
      </w:pPr>
      <w:r>
        <w:rPr>
          <w:rFonts w:ascii="Cambria" w:hAnsi="Cambria" w:asciiTheme="majorHAnsi" w:hAnsiTheme="majorHAnsi"/>
        </w:rPr>
        <w:t>kutatási feladat</w:t>
      </w:r>
    </w:p>
    <w:p>
      <w:pPr>
        <w:pStyle w:val="Normal"/>
        <w:widowControl w:val="false"/>
        <w:rPr>
          <w:rFonts w:ascii="Times New Roman" w:hAnsi="Times New Roman"/>
          <w:lang w:val="en-GB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Vizsga</w:t>
      </w:r>
      <w:r>
        <w:rPr>
          <w:rFonts w:ascii="Cambria" w:hAnsi="Cambria" w:asciiTheme="majorHAnsi" w:hAnsiTheme="majorHAnsi"/>
          <w:sz w:val="24"/>
          <w:szCs w:val="24"/>
        </w:rPr>
        <w:t>:</w:t>
      </w:r>
    </w:p>
    <w:p>
      <w:pPr>
        <w:pStyle w:val="Normal"/>
        <w:widowControl w:val="false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vizsga írásbeli. Témakörök: féléves témák. Minimum követelmény: 51%</w:t>
      </w:r>
    </w:p>
    <w:p>
      <w:pPr>
        <w:pStyle w:val="Normal"/>
        <w:widowControl w:val="false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i/>
          <w:sz w:val="24"/>
          <w:szCs w:val="24"/>
        </w:rPr>
        <w:t>Az érdemjegy kialakításának módja</w:t>
      </w:r>
      <w:r>
        <w:rPr>
          <w:rFonts w:ascii="Cambria" w:hAnsi="Cambria" w:asciiTheme="majorHAnsi" w:hAnsiTheme="majorHAnsi"/>
          <w:sz w:val="24"/>
          <w:szCs w:val="24"/>
        </w:rPr>
        <w:t>:</w:t>
      </w:r>
    </w:p>
    <w:p>
      <w:pPr>
        <w:pStyle w:val="Normal"/>
        <w:widowControl w:val="false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(ZH+vizsga)/2</w:t>
      </w:r>
    </w:p>
    <w:p>
      <w:pPr>
        <w:pStyle w:val="Normal"/>
        <w:widowControl w:val="false"/>
        <w:suppressAutoHyphens w:val="true"/>
        <w:jc w:val="both"/>
        <w:rPr/>
      </w:pPr>
      <w:r>
        <w:rPr>
          <w:sz w:val="22"/>
          <w:szCs w:val="22"/>
        </w:rPr>
        <w:t>0  – 50%</w:t>
        <w:tab/>
        <w:t>elégtelen(1)</w:t>
        <w:br/>
        <w:t>51 – 65%</w:t>
        <w:tab/>
        <w:t>elégséges(2)</w:t>
        <w:br/>
        <w:t>66 – 75%</w:t>
        <w:tab/>
        <w:t>közepes(3)</w:t>
        <w:br/>
        <w:t>76 – 85%</w:t>
        <w:tab/>
        <w:t>jó(4)</w:t>
        <w:br/>
        <w:t>86 – 100%</w:t>
        <w:tab/>
        <w:t>jeles (5)</w:t>
      </w:r>
    </w:p>
    <w:p>
      <w:pPr>
        <w:pStyle w:val="Cmsor2"/>
        <w:rPr/>
      </w:pPr>
      <w:r>
        <w:rPr/>
        <w:t>Kötelező és ajánlott irodalom</w:t>
      </w:r>
    </w:p>
    <w:p>
      <w:pPr>
        <w:pStyle w:val="ListParagraph"/>
        <w:numPr>
          <w:ilvl w:val="0"/>
          <w:numId w:val="1"/>
        </w:numPr>
        <w:rPr/>
      </w:pPr>
      <w:r>
        <w:rPr/>
        <w:t>Project Management Institute (2016): Projektmenedzsment útmutató (5. kiadás). Akadémiai Kiadó, Budapest.</w:t>
      </w:r>
    </w:p>
    <w:p>
      <w:pPr>
        <w:pStyle w:val="ListParagraph"/>
        <w:numPr>
          <w:ilvl w:val="0"/>
          <w:numId w:val="1"/>
        </w:numPr>
        <w:rPr/>
      </w:pPr>
      <w:r>
        <w:rPr/>
        <w:t>Eric Verzuh (2005): Projektmenedzsment. HVG Kiadó, Budapest.</w:t>
      </w:r>
    </w:p>
    <w:p>
      <w:pPr>
        <w:pStyle w:val="ListParagraph"/>
        <w:numPr>
          <w:ilvl w:val="0"/>
          <w:numId w:val="1"/>
        </w:numPr>
        <w:rPr/>
      </w:pPr>
      <w:r>
        <w:rPr/>
        <w:t>Vecsenyi János (2009): Kisvállalkozások indítása és működtetése. Perfekt Kiadó, Budapest.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851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1"/>
        </w:numPr>
        <w:rPr/>
      </w:pPr>
      <w:r>
        <w:rPr/>
        <w:t>Vecsenyi János (2003): Vállalkozás – Az ötlettől az újrakezdésig. Aula Kiadó, Budapest.</w:t>
      </w:r>
    </w:p>
    <w:p>
      <w:pPr>
        <w:pStyle w:val="Cmsor2"/>
        <w:shd w:fill="DBE5F1" w:val="clear"/>
        <w:rPr/>
      </w:pPr>
      <w:r>
        <w:rPr/>
        <w:t>Ütemezés</w:t>
      </w:r>
    </w:p>
    <w:tbl>
      <w:tblPr>
        <w:tblW w:w="13490" w:type="dxa"/>
        <w:jc w:val="left"/>
        <w:tblInd w:w="18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1300"/>
        <w:gridCol w:w="326"/>
        <w:gridCol w:w="1749"/>
        <w:gridCol w:w="1"/>
        <w:gridCol w:w="460"/>
        <w:gridCol w:w="32"/>
        <w:gridCol w:w="444"/>
        <w:gridCol w:w="50"/>
        <w:gridCol w:w="414"/>
        <w:gridCol w:w="79"/>
        <w:gridCol w:w="396"/>
        <w:gridCol w:w="97"/>
        <w:gridCol w:w="366"/>
        <w:gridCol w:w="179"/>
        <w:gridCol w:w="294"/>
        <w:gridCol w:w="149"/>
        <w:gridCol w:w="330"/>
        <w:gridCol w:w="163"/>
        <w:gridCol w:w="311"/>
        <w:gridCol w:w="183"/>
        <w:gridCol w:w="293"/>
        <w:gridCol w:w="200"/>
        <w:gridCol w:w="276"/>
        <w:gridCol w:w="217"/>
        <w:gridCol w:w="254"/>
        <w:gridCol w:w="240"/>
        <w:gridCol w:w="219"/>
        <w:gridCol w:w="275"/>
        <w:gridCol w:w="166"/>
        <w:gridCol w:w="328"/>
        <w:gridCol w:w="419"/>
        <w:gridCol w:w="74"/>
        <w:gridCol w:w="493"/>
        <w:gridCol w:w="1"/>
        <w:gridCol w:w="503"/>
        <w:gridCol w:w="2"/>
        <w:gridCol w:w="503"/>
        <w:gridCol w:w="1"/>
        <w:gridCol w:w="557"/>
        <w:gridCol w:w="58"/>
        <w:gridCol w:w="514"/>
        <w:gridCol w:w="29"/>
        <w:gridCol w:w="541"/>
      </w:tblGrid>
      <w:tr>
        <w:trPr>
          <w:trHeight w:val="465" w:hRule="atLeast"/>
        </w:trPr>
        <w:tc>
          <w:tcPr>
            <w:tcW w:w="162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74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3"/>
              <w:spacing w:before="300" w:after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3"/>
              <w:spacing w:before="300" w:after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Vizsgaidőszak</w:t>
            </w:r>
          </w:p>
        </w:tc>
      </w:tr>
      <w:tr>
        <w:trPr>
          <w:trHeight w:val="300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2"/>
              <w:pBdr>
                <w:top w:val="single" w:sz="24" w:space="0" w:color="DBE5F1"/>
                <w:left w:val="single" w:sz="24" w:space="0" w:color="DBE5F1"/>
                <w:bottom w:val="single" w:sz="24" w:space="0" w:color="DBE5F1"/>
                <w:right w:val="single" w:sz="24" w:space="0" w:color="DBE5F1"/>
              </w:pBdr>
              <w:shd w:val="clear" w:color="auto" w:fill="DBE5F1" w:themeFill="accent1" w:themeFillTint="33"/>
              <w:spacing w:before="200" w:after="0"/>
              <w:outlineLvl w:val="1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II. félév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>
        <w:trPr>
          <w:trHeight w:val="532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554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548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433" w:hRule="atLeast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/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/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1" w:type="dxa"/>
            <w:tcBorders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/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1" w:type="dxa"/>
            <w:tcBorders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/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1" w:type="dxa"/>
            <w:tcBorders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364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/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169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>
        <w:trPr>
          <w:trHeight w:val="300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1699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300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 w:asciiTheme="majorHAnsi" w:hAnsiTheme="majorHAnsi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a /fj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699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480" w:hRule="atLeast"/>
        </w:trPr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libri" w:hAnsi="Calibri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left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64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5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63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3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9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4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</w:r>
          </w:p>
        </w:tc>
        <w:tc>
          <w:tcPr>
            <w:tcW w:w="471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59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41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747" w:type="dxa"/>
            <w:gridSpan w:val="2"/>
            <w:tcBorders/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67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 w:asciiTheme="majorHAnsi" w:hAnsiTheme="maj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</w:tbl>
    <w:p>
      <w:pPr>
        <w:pStyle w:val="Normal"/>
        <w:rPr/>
      </w:pPr>
      <w:r>
        <w:rPr/>
        <w:t>2020. 02. 04.</w:t>
      </w:r>
    </w:p>
    <w:p>
      <w:pPr>
        <w:pStyle w:val="Normal"/>
        <w:ind w:firstLine="7797"/>
        <w:jc w:val="center"/>
        <w:rPr/>
      </w:pPr>
      <w:r>
        <w:rPr/>
        <w:t>………</w:t>
      </w:r>
      <w:r>
        <w:rPr/>
        <w:t>Szűcs Krisztián………..</w:t>
      </w:r>
    </w:p>
    <w:p>
      <w:pPr>
        <w:pStyle w:val="Normal"/>
        <w:spacing w:before="200" w:after="200"/>
        <w:ind w:firstLine="7797"/>
        <w:jc w:val="center"/>
        <w:rPr/>
      </w:pPr>
      <w:r>
        <w:rPr/>
        <w:t>tantárgyfelelős</w:t>
      </w:r>
    </w:p>
    <w:sectPr>
      <w:footerReference w:type="default" r:id="rId3"/>
      <w:type w:val="nextPage"/>
      <w:pgSz w:orient="landscape" w:w="16838" w:h="11906"/>
      <w:pgMar w:left="1417" w:right="1417" w:header="0" w:top="1135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4083763"/>
    </w:sdtPr>
    <w:sdtContent>
      <w:p>
        <w:pPr>
          <w:pStyle w:val="Llb"/>
          <w:spacing w:before="200" w:after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Llb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6906559"/>
    </w:sdtPr>
    <w:sdtContent>
      <w:p>
        <w:pPr>
          <w:pStyle w:val="Llb"/>
          <w:spacing w:before="200" w:after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Llb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7dc"/>
    <w:pPr>
      <w:widowControl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3a57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al"/>
    <w:link w:val="Cmsor2Char"/>
    <w:uiPriority w:val="9"/>
    <w:unhideWhenUsed/>
    <w:qFormat/>
    <w:rsid w:val="003a57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al"/>
    <w:link w:val="Cmsor3Char"/>
    <w:uiPriority w:val="9"/>
    <w:unhideWhenUsed/>
    <w:qFormat/>
    <w:rsid w:val="003a57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al"/>
    <w:link w:val="Cmsor4Char"/>
    <w:uiPriority w:val="9"/>
    <w:semiHidden/>
    <w:unhideWhenUsed/>
    <w:qFormat/>
    <w:rsid w:val="003a57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al"/>
    <w:link w:val="Cmsor5Char"/>
    <w:uiPriority w:val="9"/>
    <w:semiHidden/>
    <w:unhideWhenUsed/>
    <w:qFormat/>
    <w:rsid w:val="003a57dc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al"/>
    <w:link w:val="Cmsor6Char"/>
    <w:uiPriority w:val="9"/>
    <w:semiHidden/>
    <w:unhideWhenUsed/>
    <w:qFormat/>
    <w:rsid w:val="003a57dc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a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a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a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Cmsor2Char" w:customStyle="1">
    <w:name w:val="Címsor 2 Char"/>
    <w:basedOn w:val="DefaultParagraphFont"/>
    <w:link w:val="Cmsor2"/>
    <w:uiPriority w:val="9"/>
    <w:qFormat/>
    <w:rsid w:val="003a57dc"/>
    <w:rPr>
      <w:caps/>
      <w:spacing w:val="15"/>
      <w:shd w:fill="DBE5F1" w:val="clear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3a57dc"/>
    <w:rPr>
      <w:caps/>
      <w:color w:val="243F60" w:themeColor="accent1" w:themeShade="7f"/>
      <w:spacing w:val="15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3a57dc"/>
    <w:rPr>
      <w:caps/>
      <w:color w:val="FFFFFF" w:themeColor="background1"/>
      <w:spacing w:val="15"/>
      <w:shd w:fill="4F81BD" w:val="clear"/>
    </w:rPr>
  </w:style>
  <w:style w:type="character" w:styleId="LfejChar" w:customStyle="1">
    <w:name w:val="Élőfej Char"/>
    <w:basedOn w:val="DefaultParagraphFont"/>
    <w:link w:val="lfej"/>
    <w:uiPriority w:val="99"/>
    <w:qFormat/>
    <w:rsid w:val="005f7e4b"/>
    <w:rPr/>
  </w:style>
  <w:style w:type="character" w:styleId="LlbChar" w:customStyle="1">
    <w:name w:val="Élőláb Char"/>
    <w:basedOn w:val="DefaultParagraphFont"/>
    <w:link w:val="llb"/>
    <w:uiPriority w:val="99"/>
    <w:qFormat/>
    <w:rsid w:val="005f7e4b"/>
    <w:rPr/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3a57dc"/>
    <w:rPr>
      <w:caps/>
      <w:color w:val="365F91" w:themeColor="accent1" w:themeShade="bf"/>
      <w:spacing w:val="10"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3a57dc"/>
    <w:rPr>
      <w:caps/>
      <w:color w:val="365F91" w:themeColor="accent1" w:themeShade="bf"/>
      <w:spacing w:val="1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3a57dc"/>
    <w:rPr>
      <w:caps/>
      <w:color w:val="365F91" w:themeColor="accent1" w:themeShade="bf"/>
      <w:spacing w:val="1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3a57dc"/>
    <w:rPr>
      <w:caps/>
      <w:color w:val="365F91" w:themeColor="accent1" w:themeShade="bf"/>
      <w:spacing w:val="10"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3a57dc"/>
    <w:rPr>
      <w:caps/>
      <w:spacing w:val="10"/>
      <w:sz w:val="18"/>
      <w:szCs w:val="18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3a57dc"/>
    <w:rPr>
      <w:i/>
      <w:caps/>
      <w:spacing w:val="10"/>
      <w:sz w:val="18"/>
      <w:szCs w:val="18"/>
    </w:rPr>
  </w:style>
  <w:style w:type="character" w:styleId="CmChar" w:customStyle="1">
    <w:name w:val="Cím Char"/>
    <w:basedOn w:val="DefaultParagraphFont"/>
    <w:link w:val="Cm"/>
    <w:uiPriority w:val="10"/>
    <w:qFormat/>
    <w:rsid w:val="003a57dc"/>
    <w:rPr>
      <w:caps/>
      <w:color w:val="4F81BD" w:themeColor="accent1"/>
      <w:spacing w:val="10"/>
      <w:kern w:val="2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Hangslyozs">
    <w:name w:val="Hangsúlyozás"/>
    <w:uiPriority w:val="20"/>
    <w:qFormat/>
    <w:rsid w:val="003a57dc"/>
    <w:rPr>
      <w:caps/>
      <w:color w:val="243F60" w:themeColor="accent1" w:themeShade="7f"/>
      <w:spacing w:val="5"/>
    </w:rPr>
  </w:style>
  <w:style w:type="character" w:styleId="IdzetChar" w:customStyle="1">
    <w:name w:val="Idézet Char"/>
    <w:basedOn w:val="DefaultParagraphFont"/>
    <w:link w:val="Idzet"/>
    <w:uiPriority w:val="29"/>
    <w:qFormat/>
    <w:rsid w:val="003a57dc"/>
    <w:rPr>
      <w:i/>
      <w:iCs/>
      <w:sz w:val="20"/>
      <w:szCs w:val="20"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character" w:styleId="NincstrkzChar" w:customStyle="1">
    <w:name w:val="Nincs térköz Char"/>
    <w:basedOn w:val="DefaultParagraphFont"/>
    <w:link w:val="Nincstrkz"/>
    <w:uiPriority w:val="1"/>
    <w:qFormat/>
    <w:rsid w:val="003a57dc"/>
    <w:rPr>
      <w:sz w:val="20"/>
      <w:szCs w:val="20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a57dc"/>
    <w:pPr>
      <w:spacing w:before="200" w:after="200"/>
      <w:ind w:left="720" w:hanging="0"/>
      <w:contextualSpacing/>
    </w:pPr>
    <w:rPr/>
  </w:style>
  <w:style w:type="paragraph" w:styleId="Lbjegyzet">
    <w:name w:val="Footnote Text"/>
    <w:basedOn w:val="Normal"/>
    <w:link w:val="LbjegyzetszvegChar"/>
    <w:semiHidden/>
    <w:rsid w:val="00ad4bc7"/>
    <w:pPr>
      <w:spacing w:lineRule="auto" w:line="240" w:before="200" w:after="0"/>
    </w:pPr>
    <w:rPr>
      <w:rFonts w:ascii="Times New Roman" w:hAnsi="Times New Roman" w:eastAsia="Times New Roman" w:cs="Times New Roman"/>
      <w:lang w:eastAsia="hu-HU"/>
    </w:rPr>
  </w:style>
  <w:style w:type="paragraph" w:styleId="Lfej">
    <w:name w:val="Header"/>
    <w:basedOn w:val="Normal"/>
    <w:link w:val="lfejChar"/>
    <w:uiPriority w:val="99"/>
    <w:unhideWhenUsed/>
    <w:rsid w:val="005f7e4b"/>
    <w:pPr>
      <w:tabs>
        <w:tab w:val="center" w:pos="4536" w:leader="none"/>
        <w:tab w:val="right" w:pos="9072" w:leader="none"/>
      </w:tabs>
      <w:spacing w:lineRule="auto" w:line="240" w:before="200" w:after="0"/>
    </w:pPr>
    <w:rPr/>
  </w:style>
  <w:style w:type="paragraph" w:styleId="Llb">
    <w:name w:val="Footer"/>
    <w:basedOn w:val="Normal"/>
    <w:link w:val="llbChar"/>
    <w:uiPriority w:val="99"/>
    <w:unhideWhenUsed/>
    <w:rsid w:val="005f7e4b"/>
    <w:pPr>
      <w:tabs>
        <w:tab w:val="center" w:pos="4536" w:leader="none"/>
        <w:tab w:val="right" w:pos="9072" w:leader="none"/>
      </w:tabs>
      <w:spacing w:lineRule="auto" w:line="240" w:before="200" w:after="0"/>
    </w:pPr>
    <w:rPr/>
  </w:style>
  <w:style w:type="paragraph" w:styleId="Caption">
    <w:name w:val="caption"/>
    <w:basedOn w:val="Normal"/>
    <w:uiPriority w:val="35"/>
    <w:semiHidden/>
    <w:unhideWhenUsed/>
    <w:qFormat/>
    <w:rsid w:val="003a57dc"/>
    <w:pPr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al"/>
    <w:link w:val="CmChar"/>
    <w:uiPriority w:val="10"/>
    <w:qFormat/>
    <w:rsid w:val="003a57dc"/>
    <w:pPr>
      <w:spacing w:before="720" w:after="200"/>
    </w:pPr>
    <w:rPr>
      <w:caps/>
      <w:color w:val="4F81BD" w:themeColor="accent1"/>
      <w:spacing w:val="10"/>
      <w:kern w:val="2"/>
      <w:sz w:val="52"/>
      <w:szCs w:val="52"/>
    </w:rPr>
  </w:style>
  <w:style w:type="paragraph" w:styleId="Alcm">
    <w:name w:val="Subtitle"/>
    <w:basedOn w:val="Normal"/>
    <w:link w:val="AlcmChar"/>
    <w:uiPriority w:val="11"/>
    <w:qFormat/>
    <w:rsid w:val="003a57dc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incstrkzChar"/>
    <w:uiPriority w:val="1"/>
    <w:qFormat/>
    <w:rsid w:val="003a57dc"/>
    <w:pPr>
      <w:spacing w:lineRule="auto" w:line="240" w:before="0" w:after="0"/>
    </w:pPr>
    <w:rPr/>
  </w:style>
  <w:style w:type="paragraph" w:styleId="Quote">
    <w:name w:val="Quote"/>
    <w:basedOn w:val="Normal"/>
    <w:link w:val="IdzetChar"/>
    <w:uiPriority w:val="29"/>
    <w:qFormat/>
    <w:rsid w:val="003a57dc"/>
    <w:pPr/>
    <w:rPr>
      <w:i/>
      <w:iCs/>
    </w:rPr>
  </w:style>
  <w:style w:type="paragraph" w:styleId="IntenseQuote">
    <w:name w:val="Intense Quote"/>
    <w:basedOn w:val="Normal"/>
    <w:link w:val="KiemeltidzetChar"/>
    <w:uiPriority w:val="30"/>
    <w:qFormat/>
    <w:rsid w:val="003a57dc"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 w:themeColor="accent1"/>
    </w:rPr>
  </w:style>
  <w:style w:type="paragraph" w:styleId="TOCHeading">
    <w:name w:val="TOC Heading"/>
    <w:basedOn w:val="Cmsor1"/>
    <w:uiPriority w:val="39"/>
    <w:semiHidden/>
    <w:unhideWhenUsed/>
    <w:qFormat/>
    <w:rsid w:val="003a57dc"/>
    <w:pPr>
      <w:shd w:fill="4F81BD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LibreOffice/6.0.7.3$Linux_X86_64 LibreOffice_project/00m0$Build-3</Application>
  <Pages>3</Pages>
  <Words>396</Words>
  <Characters>2736</Characters>
  <CharactersWithSpaces>3036</CharactersWithSpaces>
  <Paragraphs>120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2020-02-04T13:56:00Z</dcterms:created>
  <dc:creator>JAI</dc:creator>
  <dc:description/>
  <dc:language>hu-HU</dc:language>
  <cp:lastModifiedBy/>
  <dcterms:modified xsi:type="dcterms:W3CDTF">2020-02-05T16:59:42Z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PTE PMMK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