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 w:rsidTr="00423B0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9F24C4" w:rsidP="00C41C0B">
            <w:pPr>
              <w:rPr>
                <w:b/>
              </w:rPr>
            </w:pPr>
            <w:r>
              <w:rPr>
                <w:b/>
              </w:rPr>
              <w:t>Víz és szennyvízkezelési eljárások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9F24C4" w:rsidP="005A60BF">
            <w:pPr>
              <w:spacing w:before="100" w:beforeAutospacing="1" w:after="100" w:afterAutospacing="1"/>
            </w:pPr>
            <w:r w:rsidRPr="009F24C4">
              <w:t>MSB419MNKM</w:t>
            </w:r>
            <w:r w:rsidR="00AE5F91">
              <w:t>D</w:t>
            </w:r>
            <w:bookmarkStart w:id="0" w:name="_GoBack"/>
            <w:bookmarkEnd w:id="0"/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423B03" w:rsidP="00867830">
            <w:pPr>
              <w:spacing w:before="100" w:beforeAutospacing="1" w:after="100" w:afterAutospacing="1"/>
            </w:pPr>
            <w:r>
              <w:t>2-2</w:t>
            </w:r>
            <w:r w:rsidR="00061FAF">
              <w:t xml:space="preserve">-0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t>5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C64909">
            <w:pPr>
              <w:rPr>
                <w:i/>
              </w:rPr>
            </w:pPr>
            <w:r>
              <w:rPr>
                <w:i/>
              </w:rPr>
              <w:t>Környezetmérnök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>
            <w:pPr>
              <w:rPr>
                <w:i/>
              </w:rPr>
            </w:pPr>
            <w:r>
              <w:rPr>
                <w:i/>
              </w:rPr>
              <w:t>Somfai Dávid tudományos segédmunkatárs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23B03">
            <w:r>
              <w:rPr>
                <w:b/>
              </w:rPr>
              <w:t xml:space="preserve">Célkitűzése: </w:t>
            </w:r>
            <w:r w:rsidR="00423B03" w:rsidRPr="00423B03">
              <w:t>A tantárgy célja a környezetmérnök hallgatók megismertetése alap szinten a főbb víz és szennyvízkezelési eljárásokkal és azok környezetvédelmi vonatkozásaival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423B03" w:rsidP="00C41C0B">
            <w:pPr>
              <w:spacing w:before="100" w:beforeAutospacing="1" w:after="100" w:afterAutospacing="1"/>
              <w:jc w:val="both"/>
              <w:outlineLvl w:val="2"/>
            </w:pPr>
            <w:r w:rsidRPr="00423B03">
              <w:t xml:space="preserve">Ivóvíz-minősítés. Víztípusok minősége és tisztítási követelményei. Főbb ivóvíz tisztítási eljárások. Szennyvíz-minősítés paraméterei. Befogadói határérték-rendszerek. Szennyvizek típusai és minőségük. TFH és minősége. </w:t>
            </w:r>
            <w:proofErr w:type="gramStart"/>
            <w:r w:rsidRPr="00423B03">
              <w:t>Kommunális</w:t>
            </w:r>
            <w:proofErr w:type="gramEnd"/>
            <w:r w:rsidRPr="00423B03">
              <w:t xml:space="preserve"> szennyvíz-kezelési eljárások, módszerek.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  <w:r w:rsidR="00423B03">
              <w:t>, gyakorlatok, tervfeladat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9F24C4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423B03" w:rsidRDefault="00423B03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tervfeladat teljesítése legalább elégséges érdemjegyre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 w:rsidR="005A60BF" w:rsidRPr="005A60BF">
              <w:t xml:space="preserve">ZH pótlása a TVSZ </w:t>
            </w:r>
            <w:proofErr w:type="gramStart"/>
            <w:r w:rsidR="005A60BF" w:rsidRPr="005A60BF">
              <w:t>szerint</w:t>
            </w:r>
            <w:r w:rsidR="005A60BF">
              <w:rPr>
                <w:b/>
              </w:rPr>
              <w:t xml:space="preserve"> </w:t>
            </w:r>
            <w:r w:rsidR="00423B03" w:rsidRPr="00423B03">
              <w:t>,</w:t>
            </w:r>
            <w:proofErr w:type="gramEnd"/>
            <w:r w:rsidR="00423B03" w:rsidRPr="00423B03">
              <w:t xml:space="preserve"> a heti beosztásban</w:t>
            </w: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lastRenderedPageBreak/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</w:t>
            </w:r>
            <w:r w:rsidR="00423B03">
              <w:rPr>
                <w:b/>
                <w:bCs/>
                <w:sz w:val="27"/>
                <w:szCs w:val="27"/>
              </w:rPr>
              <w:t>, gyakorlat</w:t>
            </w:r>
            <w:r w:rsidRPr="003F6AD1">
              <w:rPr>
                <w:b/>
                <w:bCs/>
                <w:sz w:val="27"/>
                <w:szCs w:val="27"/>
              </w:rPr>
              <w:t>):</w:t>
            </w:r>
          </w:p>
          <w:tbl>
            <w:tblPr>
              <w:tblW w:w="94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340"/>
              <w:gridCol w:w="4416"/>
            </w:tblGrid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Előadások heti bontásban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Gyakorlatok heti bontásban</w:t>
                  </w:r>
                </w:p>
              </w:tc>
            </w:tr>
            <w:tr w:rsidR="00423B03" w:rsidRPr="00A036AE" w:rsidTr="00B93465">
              <w:trPr>
                <w:trHeight w:val="193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Le-számítás, </w:t>
                  </w: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terhelés számítás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5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I. – Mechanikai tisztítás.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Mértékadó víz és szennyvízmennyiség meghatározása. Szennyvízminőség becslése</w:t>
                  </w:r>
                </w:p>
              </w:tc>
            </w:tr>
            <w:tr w:rsidR="00423B03" w:rsidRPr="00A036AE" w:rsidTr="00B93465">
              <w:trPr>
                <w:trHeight w:val="5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Szennyvíztisztítási technológiák II. – Biológiai szennyvíztisztítási eljárások I. </w:t>
                  </w: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kiadása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Rácsok és homokfogók hidraulikai méretezése</w:t>
                  </w:r>
                </w:p>
              </w:tc>
            </w:tr>
            <w:tr w:rsidR="00423B03" w:rsidRPr="00A036AE" w:rsidTr="00B93465">
              <w:trPr>
                <w:trHeight w:val="52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III. – Biológiai szennyvíztisztítási eljárások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423B03" w:rsidRPr="00306EE6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Elöülepítők</w:t>
                  </w:r>
                  <w:proofErr w:type="spellEnd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és utóülepítők méretezése</w:t>
                  </w:r>
                </w:p>
              </w:tc>
            </w:tr>
            <w:tr w:rsidR="00423B03" w:rsidRPr="00A036AE" w:rsidTr="00B93465">
              <w:trPr>
                <w:trHeight w:val="109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IV. – Biológiai szennyvíztisztítási eljárások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I.</w:t>
                  </w:r>
                </w:p>
              </w:tc>
            </w:tr>
            <w:tr w:rsidR="00423B03" w:rsidRPr="00A036AE" w:rsidTr="00B93465">
              <w:trPr>
                <w:trHeight w:val="8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6.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V. – Biológiai nitrogén eltávolítás Kémiai szennyvíztisztítási eljárások. P-eltávolítás és fertőtlenítés.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II.</w:t>
                  </w:r>
                </w:p>
              </w:tc>
            </w:tr>
            <w:tr w:rsidR="00423B03" w:rsidRPr="00A036AE" w:rsidTr="00B93465">
              <w:trPr>
                <w:trHeight w:val="84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7.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VI. – Biológiai nitrogén eltávolítás Kémiai szennyvíztisztítási eljárások. P-eltávolítás és fertőtlenítés.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8.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9.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proofErr w:type="spellEnd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C841C6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</w:t>
                  </w:r>
                  <w:r w:rsidRPr="00A036AE">
                    <w:rPr>
                      <w:rFonts w:ascii="Arial Narrow" w:hAnsi="Arial Narrow" w:cs="Arial"/>
                    </w:rPr>
                    <w:t>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minősítés határértékei. Vízbázisok, vízszerzés, ivóvíz és ipari víztisztítási technológiák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C841C6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lastRenderedPageBreak/>
                    <w:t>11.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</w:p>
              </w:tc>
            </w:tr>
            <w:tr w:rsidR="00423B03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Ivóvíz és ipari víztisztítási technológiák II. 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46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IV.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beadása</w:t>
                  </w:r>
                </w:p>
              </w:tc>
            </w:tr>
          </w:tbl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lastRenderedPageBreak/>
              <w:t>Jegyzet, tankönyv, felhasználható irodalom:</w:t>
            </w:r>
          </w:p>
          <w:p w:rsidR="00BE7353" w:rsidRPr="00C64909" w:rsidRDefault="00423B03" w:rsidP="00423B03">
            <w:pPr>
              <w:spacing w:before="100" w:beforeAutospacing="1" w:after="100" w:afterAutospacing="1"/>
              <w:outlineLvl w:val="2"/>
              <w:rPr>
                <w:spacing w:val="-6"/>
              </w:rPr>
            </w:pPr>
            <w:r w:rsidRPr="00423B03">
              <w:rPr>
                <w:spacing w:val="-6"/>
              </w:rPr>
              <w:t>Oktatók által a félév során kiadott oktatási segédanyagok. Javasolt irodalom minden témakörhöz a kiadásra kerülő segédanyagok végén rögzítésre kerülnek.</w:t>
            </w:r>
          </w:p>
        </w:tc>
      </w:tr>
    </w:tbl>
    <w:p w:rsidR="009D3560" w:rsidRDefault="009D3560"/>
    <w:p w:rsidR="00C851AB" w:rsidRDefault="009F24C4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70" w:rsidRDefault="00194870">
      <w:r>
        <w:separator/>
      </w:r>
    </w:p>
  </w:endnote>
  <w:endnote w:type="continuationSeparator" w:id="0">
    <w:p w:rsidR="00194870" w:rsidRDefault="001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70" w:rsidRDefault="00194870">
      <w:r>
        <w:separator/>
      </w:r>
    </w:p>
  </w:footnote>
  <w:footnote w:type="continuationSeparator" w:id="0">
    <w:p w:rsidR="00194870" w:rsidRDefault="00194870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1FAF"/>
    <w:rsid w:val="00065E23"/>
    <w:rsid w:val="001053A6"/>
    <w:rsid w:val="00110F5E"/>
    <w:rsid w:val="00113417"/>
    <w:rsid w:val="001154D1"/>
    <w:rsid w:val="00154F15"/>
    <w:rsid w:val="001571E7"/>
    <w:rsid w:val="00194870"/>
    <w:rsid w:val="001A3DA0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021FA"/>
    <w:rsid w:val="00410211"/>
    <w:rsid w:val="00423B03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7CD2"/>
    <w:rsid w:val="007E7AEB"/>
    <w:rsid w:val="007F643A"/>
    <w:rsid w:val="00810723"/>
    <w:rsid w:val="00810DF0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944DE"/>
    <w:rsid w:val="009D3560"/>
    <w:rsid w:val="009F24C4"/>
    <w:rsid w:val="009F2B0B"/>
    <w:rsid w:val="00A0650A"/>
    <w:rsid w:val="00A16C36"/>
    <w:rsid w:val="00A5777D"/>
    <w:rsid w:val="00A77586"/>
    <w:rsid w:val="00AC058F"/>
    <w:rsid w:val="00AC2A48"/>
    <w:rsid w:val="00AE2C2C"/>
    <w:rsid w:val="00AE5F91"/>
    <w:rsid w:val="00AF109C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41C6"/>
    <w:rsid w:val="00C851AB"/>
    <w:rsid w:val="00C9502D"/>
    <w:rsid w:val="00CB398C"/>
    <w:rsid w:val="00CC46E9"/>
    <w:rsid w:val="00D01D82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07EB6"/>
    <w:rsid w:val="00F27943"/>
    <w:rsid w:val="00F3749E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57103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5049-F2FF-410B-BDE8-EBD916CE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4337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2</cp:revision>
  <cp:lastPrinted>2018-08-28T11:28:00Z</cp:lastPrinted>
  <dcterms:created xsi:type="dcterms:W3CDTF">2020-02-05T12:39:00Z</dcterms:created>
  <dcterms:modified xsi:type="dcterms:W3CDTF">2020-02-05T12:39:00Z</dcterms:modified>
</cp:coreProperties>
</file>