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A3DC2">
        <w:t>2020/2021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70671" w:rsidRDefault="00982B0C" w:rsidP="00B40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Víz és szennyvízkezelési eljárások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82B0C">
              <w:rPr>
                <w:rFonts w:asciiTheme="majorHAnsi" w:hAnsiTheme="majorHAnsi"/>
                <w:b/>
                <w:i w:val="0"/>
                <w:sz w:val="24"/>
                <w:szCs w:val="24"/>
              </w:rPr>
              <w:t>MSB419MNKM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2/2/0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DA3DC2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982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r w:rsidR="00982B0C">
              <w:rPr>
                <w:rFonts w:asciiTheme="majorHAnsi" w:hAnsiTheme="majorHAnsi"/>
                <w:b/>
                <w:sz w:val="24"/>
                <w:szCs w:val="24"/>
              </w:rPr>
              <w:t>Dittrich Ernő egyetemi adjunktus /Somfai Dávid tudományos segédmunkatárs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82B0C" w:rsidRPr="00491FDB" w:rsidRDefault="00982B0C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982B0C">
        <w:rPr>
          <w:rFonts w:cstheme="minorHAnsi"/>
          <w:sz w:val="22"/>
          <w:szCs w:val="22"/>
        </w:rPr>
        <w:t>A tantárgy célja a környezetmérnök hallgatók megismertetése alap szinten a főbb víz és szennyvízkezelési eljárásokkal és azok környezetvédelmi vonatkozásaival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Pr="00491FDB" w:rsidRDefault="009B4F16" w:rsidP="00491FD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2"/>
          <w:szCs w:val="22"/>
          <w:lang w:eastAsia="hu-HU"/>
        </w:rPr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  <w:r w:rsidR="00982B0C" w:rsidRPr="00982B0C">
        <w:rPr>
          <w:rFonts w:cstheme="minorHAnsi"/>
          <w:sz w:val="22"/>
          <w:szCs w:val="22"/>
        </w:rPr>
        <w:t>Ivóvíz-minősítés. Víztípusok minősége és tisztítási követelményei. Főbb ivóvíz tisztítási eljárások. Szennyvíz-minősítés paraméterei. Befogadói határérték-rendszerek. Szennyvizek típusai és minőségük. TFH és minősége. Kommunális szennyvíz-kezelési eljárások, módszerek.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340"/>
        <w:gridCol w:w="4416"/>
      </w:tblGrid>
      <w:tr w:rsidR="00982B0C" w:rsidRPr="00982B0C" w:rsidTr="00FE6A10">
        <w:trPr>
          <w:trHeight w:val="306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Előadások heti bontásban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Gyakorlatok heti bontásban</w:t>
            </w:r>
          </w:p>
        </w:tc>
      </w:tr>
      <w:tr w:rsidR="00982B0C" w:rsidRPr="00982B0C" w:rsidTr="00FE6A10">
        <w:trPr>
          <w:trHeight w:val="193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A vízgazdálkodás rendszere, az egyes elemek egymásra hatása. Minősítés paraméterei. A víz fizikai, kémiai, biológiai tulajdonságai.  Szennyvíz minősítés paraméterei. Befogadói határértékrendszerek. Szennyvizek típusai és minőségük. TFH és minősége. Csatornahálózatok típusai és azokban végbemenő vízminőségi változások. 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Le-számítás, terhelés számítás</w:t>
            </w:r>
          </w:p>
        </w:tc>
      </w:tr>
      <w:tr w:rsidR="00982B0C" w:rsidRPr="00982B0C" w:rsidTr="00FE6A10">
        <w:trPr>
          <w:trHeight w:val="5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lastRenderedPageBreak/>
              <w:t>2.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Szennyvíztisztítási technológiák I. – Mechanikai tisztítás.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Mértékadó víz és szennyvízmennyiség meghatározása. Szennyvízminőség becslése</w:t>
            </w:r>
          </w:p>
        </w:tc>
      </w:tr>
      <w:tr w:rsidR="00982B0C" w:rsidRPr="00982B0C" w:rsidTr="00FE6A10">
        <w:trPr>
          <w:trHeight w:val="5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3.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Szennyvíztisztítási technológiák II. – Biológiai szennyvíztisztítási eljárások I. </w:t>
            </w:r>
            <w:r w:rsidRPr="00982B0C">
              <w:rPr>
                <w:rFonts w:ascii="Arial Narrow" w:eastAsia="Times New Roman" w:hAnsi="Arial Narrow" w:cs="Arial"/>
                <w:b/>
                <w:bCs/>
                <w:lang w:eastAsia="hu-HU"/>
              </w:rPr>
              <w:t xml:space="preserve">Házi feladat kiadása 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Rácsok és homokfogók hidraulikai méretezése</w:t>
            </w:r>
          </w:p>
        </w:tc>
      </w:tr>
      <w:tr w:rsidR="00982B0C" w:rsidRPr="00982B0C" w:rsidTr="00FE6A10">
        <w:trPr>
          <w:trHeight w:val="52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4.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Szennyvíztisztítási technológiák III. – Biológiai szennyvíztisztítási eljárások II. </w:t>
            </w:r>
          </w:p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I. MINI ZH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Elöülepítők és utóülepítők méretezése</w:t>
            </w:r>
          </w:p>
        </w:tc>
      </w:tr>
      <w:tr w:rsidR="00982B0C" w:rsidRPr="00982B0C" w:rsidTr="00FE6A10">
        <w:trPr>
          <w:trHeight w:val="109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5.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Szennyvíztisztítási technológiák IV. – Biológiai szennyvíztisztítási eljárások III.</w:t>
            </w:r>
          </w:p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I. MINI ZH pót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Eleveniszapos biológiai eljárás egyszerűsített technológiai méretezése I.</w:t>
            </w:r>
          </w:p>
        </w:tc>
      </w:tr>
      <w:tr w:rsidR="00982B0C" w:rsidRPr="00982B0C" w:rsidTr="00FE6A10">
        <w:trPr>
          <w:trHeight w:val="8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6.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Szennyvíztisztítási technológiák V. – Biológiai nitrogén eltávolítás Kémiai szennyvíztisztítási eljárások. P-eltávolítás és fertőtlenítés. I. </w:t>
            </w: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I. MINI ZH pót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Eleveniszapos biológiai eljárás egyszerűsített technológiai méretezése II.</w:t>
            </w:r>
          </w:p>
        </w:tc>
      </w:tr>
      <w:tr w:rsidR="00982B0C" w:rsidRPr="00982B0C" w:rsidTr="00FE6A10">
        <w:trPr>
          <w:trHeight w:val="84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7.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Szennyvíztisztítási technológiák VI. – Biológiai nitrogén eltávolítás Kémiai szennyvíztisztítási eljárások. P-eltávolítás és fertőtlenítés. II. </w:t>
            </w: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II. MINI ZH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Eleveniszapos biológiai eljárás egyszerűsített technológiai méretezése III.</w:t>
            </w:r>
          </w:p>
        </w:tc>
      </w:tr>
      <w:tr w:rsidR="00982B0C" w:rsidRPr="00982B0C" w:rsidTr="00FE6A10">
        <w:trPr>
          <w:trHeight w:val="63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8.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Természet-közeli szennyvíztisztítási eljárások. I. </w:t>
            </w: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II. MINI ZH pót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N és P eltávolítással kapcsolatos technológiai számítások I.</w:t>
            </w:r>
          </w:p>
        </w:tc>
      </w:tr>
      <w:tr w:rsidR="00982B0C" w:rsidRPr="00982B0C" w:rsidTr="00FE6A10">
        <w:trPr>
          <w:trHeight w:val="63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9.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Természet-közeli szennyvíztisztítási eljárások. II</w:t>
            </w: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 xml:space="preserve"> II. MINI ZH pót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N és P eltávolítással kapcsolatos technológiai számítások I.</w:t>
            </w:r>
          </w:p>
        </w:tc>
      </w:tr>
      <w:tr w:rsidR="00982B0C" w:rsidRPr="00982B0C" w:rsidTr="00FE6A10">
        <w:trPr>
          <w:trHeight w:val="8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10.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bCs/>
                <w:lang w:eastAsia="hu-HU"/>
              </w:rPr>
              <w:t>Tavaszi szünet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bCs/>
                <w:lang w:eastAsia="hu-HU"/>
              </w:rPr>
              <w:t>Tavaszi szünet</w:t>
            </w:r>
          </w:p>
        </w:tc>
      </w:tr>
      <w:tr w:rsidR="00982B0C" w:rsidRPr="00982B0C" w:rsidTr="00FE6A10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11.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Ivóvíz minősítés határértékei. Vízbázisok, vízszerzés, ivóvíz és ipari víztisztítási technológiák I. </w:t>
            </w:r>
          </w:p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III. MINI ZH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Konzultáció</w:t>
            </w:r>
          </w:p>
        </w:tc>
      </w:tr>
      <w:tr w:rsidR="00982B0C" w:rsidRPr="00982B0C" w:rsidTr="00FE6A10">
        <w:trPr>
          <w:trHeight w:val="8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12.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 xml:space="preserve">Ivóvíz és ipari víztisztítási technológiák II. </w:t>
            </w:r>
          </w:p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III. MINI ZH pót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Konzultáció</w:t>
            </w:r>
          </w:p>
        </w:tc>
      </w:tr>
      <w:tr w:rsidR="00982B0C" w:rsidRPr="00982B0C" w:rsidTr="00FE6A10">
        <w:trPr>
          <w:trHeight w:val="46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13.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Ivóvíz és ipari víztisztítási technológiák III.</w:t>
            </w:r>
          </w:p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lang w:eastAsia="hu-HU"/>
              </w:rPr>
              <w:t>III. MINI ZH pót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Konzultáció</w:t>
            </w:r>
          </w:p>
        </w:tc>
      </w:tr>
      <w:tr w:rsidR="00982B0C" w:rsidRPr="00982B0C" w:rsidTr="00FE6A10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14.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Ivóvíz és ipari víztisztítási technológiák IV.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lang w:eastAsia="hu-HU"/>
              </w:rPr>
              <w:t>Konzultáció</w:t>
            </w:r>
          </w:p>
        </w:tc>
      </w:tr>
      <w:tr w:rsidR="00982B0C" w:rsidRPr="00982B0C" w:rsidTr="00FE6A10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sz w:val="24"/>
                <w:szCs w:val="24"/>
                <w:lang w:eastAsia="hu-HU"/>
              </w:rPr>
              <w:t>15. hét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bCs/>
                <w:lang w:eastAsia="hu-HU"/>
              </w:rPr>
              <w:t>ZH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B0C" w:rsidRPr="00982B0C" w:rsidRDefault="00982B0C" w:rsidP="00982B0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u-HU"/>
              </w:rPr>
            </w:pPr>
            <w:r w:rsidRPr="00982B0C">
              <w:rPr>
                <w:rFonts w:ascii="Arial Narrow" w:eastAsia="Times New Roman" w:hAnsi="Arial Narrow" w:cs="Arial"/>
                <w:b/>
                <w:bCs/>
                <w:lang w:eastAsia="hu-HU"/>
              </w:rPr>
              <w:t>Házi feladat beadása</w:t>
            </w:r>
          </w:p>
        </w:tc>
      </w:tr>
    </w:tbl>
    <w:p w:rsidR="009B4F16" w:rsidRPr="00E95DC7" w:rsidRDefault="009B4F16" w:rsidP="009B4F16">
      <w:pPr>
        <w:rPr>
          <w:b/>
          <w:sz w:val="22"/>
          <w:szCs w:val="22"/>
        </w:rPr>
      </w:pP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982B0C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Mindegyik</w:t>
      </w:r>
      <w:r w:rsidR="00CA55C2" w:rsidRPr="00E95DC7">
        <w:rPr>
          <w:rFonts w:cstheme="minorHAnsi"/>
          <w:sz w:val="22"/>
          <w:szCs w:val="22"/>
        </w:rPr>
        <w:t xml:space="preserve"> ZH-nak eredményesnek </w:t>
      </w:r>
      <w:r>
        <w:rPr>
          <w:rFonts w:cstheme="minorHAnsi"/>
          <w:sz w:val="22"/>
          <w:szCs w:val="22"/>
        </w:rPr>
        <w:t>kell lennie. Mindkét ZH kétszer</w:t>
      </w:r>
      <w:r w:rsidR="003F66FB" w:rsidRPr="00E95DC7">
        <w:rPr>
          <w:rFonts w:cstheme="minorHAnsi"/>
          <w:sz w:val="22"/>
          <w:szCs w:val="22"/>
        </w:rPr>
        <w:t xml:space="preserve">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</w:t>
      </w:r>
      <w:r w:rsidR="003F66FB" w:rsidRPr="00E95DC7">
        <w:rPr>
          <w:rFonts w:cstheme="minorHAnsi"/>
          <w:sz w:val="22"/>
          <w:szCs w:val="22"/>
        </w:rPr>
        <w:lastRenderedPageBreak/>
        <w:t>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Vizsga jellege (szóbeli, írásbeli, vagy mindkettő):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Szóbeli, tételsor alapján, vizsga előtt „vizsga belépő zh”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Érdemjegy kialakítása: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Félévi teljesítés 30%-ban beszámításra kerül a szóbeli vizsga teljesítményébe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</w:t>
      </w:r>
      <w:r w:rsidR="00982B0C">
        <w:rPr>
          <w:rFonts w:cstheme="minorHAnsi"/>
          <w:sz w:val="22"/>
          <w:szCs w:val="22"/>
          <w:lang w:eastAsia="hu-HU"/>
        </w:rPr>
        <w:t xml:space="preserve">vizsga </w:t>
      </w:r>
      <w:r w:rsidR="00CC1C5D" w:rsidRPr="00E95DC7">
        <w:rPr>
          <w:rFonts w:cstheme="minorHAnsi"/>
          <w:sz w:val="22"/>
          <w:szCs w:val="22"/>
          <w:lang w:eastAsia="hu-HU"/>
        </w:rPr>
        <w:t>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982B0C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b/>
          <w:bCs/>
          <w:sz w:val="22"/>
          <w:szCs w:val="22"/>
          <w:lang w:eastAsia="hu-HU"/>
        </w:rPr>
        <w:t>94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-100 %: 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80</w:t>
      </w:r>
      <w:r w:rsidR="00F64689">
        <w:rPr>
          <w:rFonts w:cstheme="minorHAnsi"/>
          <w:b/>
          <w:bCs/>
          <w:sz w:val="22"/>
          <w:szCs w:val="22"/>
          <w:lang w:eastAsia="hu-HU"/>
        </w:rPr>
        <w:t>- 93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65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 </w:t>
      </w:r>
      <w:r>
        <w:rPr>
          <w:rFonts w:cstheme="minorHAnsi"/>
          <w:b/>
          <w:bCs/>
          <w:sz w:val="22"/>
          <w:szCs w:val="22"/>
          <w:lang w:eastAsia="hu-HU"/>
        </w:rPr>
        <w:t>79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="00F64689">
        <w:rPr>
          <w:rFonts w:cstheme="minorHAnsi"/>
          <w:b/>
          <w:bCs/>
          <w:sz w:val="22"/>
          <w:szCs w:val="22"/>
          <w:lang w:eastAsia="hu-HU"/>
        </w:rPr>
        <w:t>51- 64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 %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982B0C" w:rsidP="00E95DC7">
      <w:pPr>
        <w:pStyle w:val="Listaszerbekezds"/>
        <w:jc w:val="both"/>
      </w:pPr>
      <w:r w:rsidRPr="00982B0C">
        <w:t>Oktatók által a félév során kiadott oktatási segédanyagok. Javasolt irodalom minden témakörhöz a kiadásra kerülő segédanyagok végén rögzítésre kerülnek.</w:t>
      </w: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F6468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bookmarkStart w:id="0" w:name="_GoBack"/>
            <w:bookmarkEnd w:id="0"/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F6468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F64689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F64689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F6468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F6468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F6468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2F37F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2F37F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2F37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DA3DC2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5E" w:rsidRDefault="00F70C5E" w:rsidP="00AD4BC7">
      <w:pPr>
        <w:spacing w:after="0" w:line="240" w:lineRule="auto"/>
      </w:pPr>
      <w:r>
        <w:separator/>
      </w:r>
    </w:p>
  </w:endnote>
  <w:endnote w:type="continuationSeparator" w:id="0">
    <w:p w:rsidR="00F70C5E" w:rsidRDefault="00F70C5E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CC1C5D" w:rsidRDefault="00F70C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C5D" w:rsidRDefault="00CC1C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5E" w:rsidRDefault="00F70C5E" w:rsidP="00AD4BC7">
      <w:pPr>
        <w:spacing w:after="0" w:line="240" w:lineRule="auto"/>
      </w:pPr>
      <w:r>
        <w:separator/>
      </w:r>
    </w:p>
  </w:footnote>
  <w:footnote w:type="continuationSeparator" w:id="0">
    <w:p w:rsidR="00F70C5E" w:rsidRDefault="00F70C5E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261943"/>
    <w:rsid w:val="002A5D34"/>
    <w:rsid w:val="002B4EBF"/>
    <w:rsid w:val="002C33DD"/>
    <w:rsid w:val="002F03A1"/>
    <w:rsid w:val="002F37F6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A67F4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2B0C"/>
    <w:rsid w:val="009B4F16"/>
    <w:rsid w:val="00A0464F"/>
    <w:rsid w:val="00A055BC"/>
    <w:rsid w:val="00A11999"/>
    <w:rsid w:val="00A36B70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3DC2"/>
    <w:rsid w:val="00DA4DD7"/>
    <w:rsid w:val="00E11CCC"/>
    <w:rsid w:val="00E21CB6"/>
    <w:rsid w:val="00E26743"/>
    <w:rsid w:val="00E34CFC"/>
    <w:rsid w:val="00E548EC"/>
    <w:rsid w:val="00E61D61"/>
    <w:rsid w:val="00E66CB3"/>
    <w:rsid w:val="00E81E72"/>
    <w:rsid w:val="00E95DC7"/>
    <w:rsid w:val="00ED693F"/>
    <w:rsid w:val="00EF1BDA"/>
    <w:rsid w:val="00F27243"/>
    <w:rsid w:val="00F52598"/>
    <w:rsid w:val="00F64689"/>
    <w:rsid w:val="00F64C15"/>
    <w:rsid w:val="00F70C5E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A821"/>
  <w15:docId w15:val="{241AAD01-747F-4050-A1A6-475DDB2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88B16-5595-49FB-8837-CF7642E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2</cp:revision>
  <dcterms:created xsi:type="dcterms:W3CDTF">2021-02-08T10:41:00Z</dcterms:created>
  <dcterms:modified xsi:type="dcterms:W3CDTF">2021-02-08T10:41:00Z</dcterms:modified>
</cp:coreProperties>
</file>