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245091D6" w:rsidR="003A23E0" w:rsidRPr="00974B5F" w:rsidRDefault="003A23E0" w:rsidP="00B41C8C">
      <w:pPr>
        <w:pStyle w:val="Cmsor1"/>
        <w:jc w:val="left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>Tantárgy</w:t>
      </w:r>
      <w:r w:rsidR="009132BE" w:rsidRPr="00974B5F">
        <w:rPr>
          <w:rFonts w:ascii="Times New Roman" w:hAnsi="Times New Roman" w:cs="Times New Roman"/>
        </w:rPr>
        <w:t>i</w:t>
      </w:r>
      <w:r w:rsidRPr="00974B5F">
        <w:rPr>
          <w:rFonts w:ascii="Times New Roman" w:hAnsi="Times New Roman" w:cs="Times New Roman"/>
        </w:rPr>
        <w:t xml:space="preserve"> tematika és teljesítés</w:t>
      </w:r>
      <w:r w:rsidR="00BF0F08" w:rsidRPr="00974B5F">
        <w:rPr>
          <w:rFonts w:ascii="Times New Roman" w:hAnsi="Times New Roman" w:cs="Times New Roman"/>
        </w:rPr>
        <w:t>i</w:t>
      </w:r>
      <w:r w:rsidRPr="00974B5F">
        <w:rPr>
          <w:rFonts w:ascii="Times New Roman" w:hAnsi="Times New Roman" w:cs="Times New Roman"/>
        </w:rPr>
        <w:t xml:space="preserve"> követelménye</w:t>
      </w:r>
      <w:r w:rsidR="00BF0F08" w:rsidRPr="00974B5F">
        <w:rPr>
          <w:rFonts w:ascii="Times New Roman" w:hAnsi="Times New Roman" w:cs="Times New Roman"/>
        </w:rPr>
        <w:t>k</w:t>
      </w:r>
      <w:r w:rsidR="002F61F2" w:rsidRPr="00974B5F">
        <w:rPr>
          <w:rFonts w:ascii="Times New Roman" w:hAnsi="Times New Roman" w:cs="Times New Roman"/>
        </w:rPr>
        <w:t xml:space="preserve"> </w:t>
      </w:r>
    </w:p>
    <w:tbl>
      <w:tblPr>
        <w:tblStyle w:val="Tblzatrcsos7tarka1"/>
        <w:tblW w:w="486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462"/>
        <w:gridCol w:w="6760"/>
      </w:tblGrid>
      <w:tr w:rsidR="00461280" w:rsidRPr="00974B5F" w14:paraId="1090BD61" w14:textId="77777777" w:rsidTr="00974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pct"/>
          </w:tcPr>
          <w:p w14:paraId="47B62525" w14:textId="7E6FB513" w:rsidR="00461280" w:rsidRPr="00974B5F" w:rsidRDefault="00461280" w:rsidP="00B40C80">
            <w:pPr>
              <w:rPr>
                <w:rFonts w:ascii="Times New Roman" w:hAnsi="Times New Roman" w:cs="Times New Roman"/>
                <w:b w:val="0"/>
              </w:rPr>
            </w:pPr>
            <w:r w:rsidRPr="00974B5F">
              <w:rPr>
                <w:rFonts w:ascii="Times New Roman" w:hAnsi="Times New Roman" w:cs="Times New Roman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665" w:type="pct"/>
          </w:tcPr>
          <w:p w14:paraId="31BBE6C4" w14:textId="1BBDF35A" w:rsidR="00461280" w:rsidRPr="00974B5F" w:rsidRDefault="00461280" w:rsidP="00B41C8C">
            <w:pPr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974B5F">
              <w:rPr>
                <w:rFonts w:ascii="Times New Roman" w:hAnsi="Times New Roman" w:cs="Times New Roman"/>
                <w:bCs w:val="0"/>
                <w:sz w:val="28"/>
                <w:szCs w:val="28"/>
              </w:rPr>
              <w:t>Épületek fenntartható vízellátása</w:t>
            </w:r>
          </w:p>
        </w:tc>
      </w:tr>
      <w:tr w:rsidR="00AD4BC7" w:rsidRPr="00974B5F" w14:paraId="1B01C622" w14:textId="77777777" w:rsidTr="009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0" w14:textId="2FA6DB30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tbl>
            <w:tblPr>
              <w:tblW w:w="20657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7"/>
            </w:tblGrid>
            <w:tr w:rsidR="0089502D" w:rsidRPr="00974B5F" w14:paraId="5C2FE5B4" w14:textId="77777777" w:rsidTr="00A564EB">
              <w:trPr>
                <w:trHeight w:val="378"/>
              </w:trPr>
              <w:tc>
                <w:tcPr>
                  <w:tcW w:w="20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57615AF7" w:rsidR="0089502D" w:rsidRPr="00974B5F" w:rsidRDefault="00E50B9F" w:rsidP="00DD1C55">
                  <w:pPr>
                    <w:spacing w:before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SZB017MN</w:t>
                  </w:r>
                </w:p>
              </w:tc>
            </w:tr>
          </w:tbl>
          <w:p w14:paraId="1B01C621" w14:textId="77777777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</w:p>
        </w:tc>
      </w:tr>
      <w:tr w:rsidR="00AD4BC7" w:rsidRPr="00974B5F" w14:paraId="1B01C625" w14:textId="77777777" w:rsidTr="00974B5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3" w14:textId="14E4C507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Heti óraszá</w:t>
            </w:r>
            <w:r w:rsidR="003A57DC" w:rsidRPr="00974B5F">
              <w:rPr>
                <w:rFonts w:ascii="Times New Roman" w:hAnsi="Times New Roman" w:cs="Times New Roman"/>
                <w:b/>
              </w:rPr>
              <w:t>m</w:t>
            </w:r>
            <w:r w:rsidRPr="00974B5F">
              <w:rPr>
                <w:rFonts w:ascii="Times New Roman" w:hAnsi="Times New Roman" w:cs="Times New Roman"/>
                <w:b/>
              </w:rPr>
              <w:t>:</w:t>
            </w:r>
            <w:r w:rsidR="007910A3" w:rsidRPr="00974B5F">
              <w:rPr>
                <w:rFonts w:ascii="Times New Roman" w:hAnsi="Times New Roman" w:cs="Times New Roman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24" w14:textId="7B3235C3" w:rsidR="00AD4BC7" w:rsidRPr="00974B5F" w:rsidRDefault="00463539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0</w:t>
            </w:r>
            <w:r w:rsidR="0089502D" w:rsidRPr="00974B5F">
              <w:rPr>
                <w:rFonts w:ascii="Times New Roman" w:hAnsi="Times New Roman" w:cs="Times New Roman"/>
                <w:b/>
                <w:i w:val="0"/>
              </w:rPr>
              <w:t>/</w:t>
            </w:r>
            <w:r w:rsidR="00657DCF" w:rsidRPr="00974B5F">
              <w:rPr>
                <w:rFonts w:ascii="Times New Roman" w:hAnsi="Times New Roman" w:cs="Times New Roman"/>
                <w:b/>
                <w:i w:val="0"/>
              </w:rPr>
              <w:t>2</w:t>
            </w:r>
            <w:r w:rsidR="0089502D" w:rsidRPr="00974B5F">
              <w:rPr>
                <w:rFonts w:ascii="Times New Roman" w:hAnsi="Times New Roman" w:cs="Times New Roman"/>
                <w:b/>
                <w:i w:val="0"/>
              </w:rPr>
              <w:t>/</w:t>
            </w:r>
            <w:r w:rsidR="00657DCF" w:rsidRPr="00974B5F">
              <w:rPr>
                <w:rFonts w:ascii="Times New Roman" w:hAnsi="Times New Roman" w:cs="Times New Roman"/>
                <w:b/>
                <w:i w:val="0"/>
              </w:rPr>
              <w:t>0</w:t>
            </w:r>
          </w:p>
        </w:tc>
      </w:tr>
      <w:tr w:rsidR="00AD4BC7" w:rsidRPr="00974B5F" w14:paraId="1B01C628" w14:textId="77777777" w:rsidTr="009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6" w14:textId="323ED60F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27" w14:textId="10D2D2ED" w:rsidR="00AD4BC7" w:rsidRPr="00974B5F" w:rsidRDefault="00463539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  <w:tr w:rsidR="00AD4BC7" w:rsidRPr="00974B5F" w14:paraId="1B01C62B" w14:textId="77777777" w:rsidTr="00974B5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9" w14:textId="4C2B3FE3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2A" w14:textId="2DDA4522" w:rsidR="00AD4BC7" w:rsidRPr="00974B5F" w:rsidRDefault="00463539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SZV</w:t>
            </w:r>
          </w:p>
        </w:tc>
      </w:tr>
      <w:tr w:rsidR="00AD4BC7" w:rsidRPr="00974B5F" w14:paraId="1B01C62E" w14:textId="77777777" w:rsidTr="009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C" w14:textId="7F14974C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2D" w14:textId="4B526639" w:rsidR="00AD4BC7" w:rsidRPr="00974B5F" w:rsidRDefault="0089502D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N</w:t>
            </w:r>
          </w:p>
        </w:tc>
      </w:tr>
      <w:tr w:rsidR="00AD4BC7" w:rsidRPr="00974B5F" w14:paraId="1B01C631" w14:textId="77777777" w:rsidTr="00974B5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2F" w14:textId="49C41B3B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30" w14:textId="2B1C1925" w:rsidR="00AD4BC7" w:rsidRPr="00974B5F" w:rsidRDefault="00657DCF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F</w:t>
            </w:r>
          </w:p>
        </w:tc>
      </w:tr>
      <w:tr w:rsidR="00AD4BC7" w:rsidRPr="00974B5F" w14:paraId="1B01C634" w14:textId="77777777" w:rsidTr="009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32" w14:textId="656EAF70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33" w14:textId="6718928E" w:rsidR="00AD4BC7" w:rsidRPr="00974B5F" w:rsidRDefault="00657DCF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tavasz</w:t>
            </w:r>
          </w:p>
        </w:tc>
      </w:tr>
      <w:tr w:rsidR="00AD4BC7" w:rsidRPr="00974B5F" w14:paraId="1B01C637" w14:textId="77777777" w:rsidTr="00974B5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35" w14:textId="624D3693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36" w14:textId="44586405" w:rsidR="00AD4BC7" w:rsidRPr="00974B5F" w:rsidRDefault="00463539" w:rsidP="00DD1C55">
            <w:pPr>
              <w:spacing w:before="0"/>
              <w:ind w:left="-127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-</w:t>
            </w:r>
          </w:p>
        </w:tc>
      </w:tr>
      <w:tr w:rsidR="00AD4BC7" w:rsidRPr="00974B5F" w14:paraId="1B01C63A" w14:textId="77777777" w:rsidTr="009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38" w14:textId="6B121A14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39" w14:textId="3D1A0FE5" w:rsidR="00AD4BC7" w:rsidRPr="00974B5F" w:rsidRDefault="0089502D" w:rsidP="00DD1C55">
            <w:pPr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>Épületgépész-és Létesítménymérnöki Tanszék</w:t>
            </w:r>
          </w:p>
        </w:tc>
      </w:tr>
      <w:tr w:rsidR="00AD4BC7" w:rsidRPr="00974B5F" w14:paraId="1B01C63D" w14:textId="77777777" w:rsidTr="00974B5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B01C63B" w14:textId="67031829" w:rsidR="00AD4BC7" w:rsidRPr="00974B5F" w:rsidRDefault="00AD4BC7" w:rsidP="00DD1C55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974B5F">
              <w:rPr>
                <w:rFonts w:ascii="Times New Roman" w:hAnsi="Times New Roman" w:cs="Times New Roman"/>
                <w:b/>
              </w:rPr>
              <w:t>Tárgyfelelős</w:t>
            </w:r>
            <w:r w:rsidR="00A72E36" w:rsidRPr="00974B5F">
              <w:rPr>
                <w:rFonts w:ascii="Times New Roman" w:hAnsi="Times New Roman" w:cs="Times New Roman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pct"/>
          </w:tcPr>
          <w:p w14:paraId="1B01C63C" w14:textId="453760BB" w:rsidR="00AD4BC7" w:rsidRPr="00974B5F" w:rsidRDefault="0089502D" w:rsidP="00DD1C55">
            <w:pPr>
              <w:tabs>
                <w:tab w:val="left" w:pos="8378"/>
              </w:tabs>
              <w:spacing w:befor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974B5F">
              <w:rPr>
                <w:rFonts w:ascii="Times New Roman" w:hAnsi="Times New Roman" w:cs="Times New Roman"/>
                <w:b/>
                <w:i w:val="0"/>
              </w:rPr>
              <w:t xml:space="preserve">Eördöghné Dr. Miklós Mária </w:t>
            </w:r>
            <w:r w:rsidR="00DD1C55">
              <w:rPr>
                <w:rFonts w:ascii="Times New Roman" w:hAnsi="Times New Roman" w:cs="Times New Roman"/>
                <w:b/>
                <w:i w:val="0"/>
              </w:rPr>
              <w:t xml:space="preserve">PhD </w:t>
            </w:r>
            <w:r w:rsidRPr="00974B5F">
              <w:rPr>
                <w:rFonts w:ascii="Times New Roman" w:hAnsi="Times New Roman" w:cs="Times New Roman"/>
                <w:b/>
                <w:i w:val="0"/>
              </w:rPr>
              <w:t>egyetemi docens</w:t>
            </w:r>
          </w:p>
        </w:tc>
      </w:tr>
      <w:tr w:rsidR="006643D3" w:rsidRPr="00974B5F" w14:paraId="1B01C640" w14:textId="77777777" w:rsidTr="00DD1C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35" w:type="pct"/>
          </w:tcPr>
          <w:p w14:paraId="1B01C63E" w14:textId="095D6AA4" w:rsidR="006643D3" w:rsidRPr="00974B5F" w:rsidRDefault="006643D3" w:rsidP="00DD1C55">
            <w:pPr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665" w:type="pct"/>
          </w:tcPr>
          <w:p w14:paraId="1B01C63F" w14:textId="77777777" w:rsidR="006643D3" w:rsidRPr="00974B5F" w:rsidRDefault="006643D3" w:rsidP="00DD1C55">
            <w:pPr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974B5F" w:rsidRDefault="009B4F16" w:rsidP="00DD1C55">
      <w:pPr>
        <w:pStyle w:val="Cmsor2"/>
        <w:spacing w:before="120"/>
        <w:jc w:val="left"/>
        <w:rPr>
          <w:rFonts w:ascii="Times New Roman" w:hAnsi="Times New Roman" w:cs="Times New Roman"/>
          <w:sz w:val="20"/>
        </w:rPr>
      </w:pPr>
      <w:r w:rsidRPr="00974B5F">
        <w:rPr>
          <w:rFonts w:ascii="Times New Roman" w:hAnsi="Times New Roman" w:cs="Times New Roman"/>
          <w:lang w:val="en-US"/>
        </w:rPr>
        <w:t>Tantárgy célkitűzése</w:t>
      </w:r>
    </w:p>
    <w:p w14:paraId="71D2F773" w14:textId="2DF26F15" w:rsidR="009B4F16" w:rsidRPr="00974B5F" w:rsidRDefault="0089502D" w:rsidP="00DD1C55">
      <w:pPr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974B5F">
        <w:rPr>
          <w:rFonts w:ascii="Times New Roman" w:hAnsi="Times New Roman" w:cs="Times New Roman"/>
          <w:sz w:val="22"/>
          <w:szCs w:val="22"/>
        </w:rPr>
        <w:t>A hallgatók</w:t>
      </w:r>
      <w:r w:rsidR="00297C46" w:rsidRPr="00974B5F">
        <w:rPr>
          <w:rFonts w:ascii="Times New Roman" w:hAnsi="Times New Roman" w:cs="Times New Roman"/>
          <w:sz w:val="22"/>
          <w:szCs w:val="22"/>
        </w:rPr>
        <w:t xml:space="preserve"> fenntarthatóság központú szemléletének fejlesztése, első sorban a vízellátási kérdéseket és megoldásokat illetően.</w:t>
      </w:r>
    </w:p>
    <w:p w14:paraId="57AD0700" w14:textId="7F31F2F6" w:rsidR="009B4F16" w:rsidRPr="00974B5F" w:rsidRDefault="009B4F16" w:rsidP="00DD1C55">
      <w:pPr>
        <w:pStyle w:val="Cmsor2"/>
        <w:spacing w:before="0"/>
        <w:jc w:val="left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 xml:space="preserve">Tartalma  </w:t>
      </w:r>
    </w:p>
    <w:p w14:paraId="593F4481" w14:textId="6B340158" w:rsidR="00B41C8C" w:rsidRPr="00974B5F" w:rsidRDefault="009B4F16" w:rsidP="00DD1C55">
      <w:pPr>
        <w:suppressAutoHyphens/>
        <w:spacing w:before="0"/>
        <w:ind w:left="34"/>
        <w:jc w:val="left"/>
        <w:rPr>
          <w:rFonts w:ascii="Times New Roman" w:hAnsi="Times New Roman" w:cs="Times New Roman"/>
          <w:sz w:val="22"/>
          <w:szCs w:val="22"/>
        </w:rPr>
      </w:pPr>
      <w:r w:rsidRPr="00974B5F">
        <w:rPr>
          <w:rFonts w:ascii="Times New Roman" w:hAnsi="Times New Roman" w:cs="Times New Roman"/>
          <w:i/>
          <w:sz w:val="22"/>
          <w:szCs w:val="22"/>
        </w:rPr>
        <w:t>Rövid leírás</w:t>
      </w:r>
      <w:r w:rsidRPr="00974B5F">
        <w:rPr>
          <w:rFonts w:ascii="Times New Roman" w:hAnsi="Times New Roman" w:cs="Times New Roman"/>
          <w:sz w:val="22"/>
          <w:szCs w:val="22"/>
        </w:rPr>
        <w:t>:</w:t>
      </w:r>
      <w:r w:rsidR="0089502D" w:rsidRPr="00974B5F">
        <w:rPr>
          <w:rFonts w:ascii="Times New Roman" w:hAnsi="Times New Roman" w:cs="Times New Roman"/>
          <w:sz w:val="22"/>
          <w:szCs w:val="22"/>
        </w:rPr>
        <w:t xml:space="preserve"> </w:t>
      </w:r>
      <w:r w:rsidR="00463539" w:rsidRPr="00974B5F">
        <w:rPr>
          <w:rFonts w:ascii="Times New Roman" w:hAnsi="Times New Roman" w:cs="Times New Roman"/>
          <w:sz w:val="22"/>
          <w:szCs w:val="22"/>
        </w:rPr>
        <w:t>A tárgy oktatásának célja megismertetni a hallgatókat környezettudatos vízellátási/ vízelvezetési rendszerekkel, alternatív szaniter-berendezésekkel. A víz mint természeti kincs. A vízellátás története, az ellátó rendszerek fejlődése. Anyagáramlás az ember és környezete között, ennek természeti kihatásai. Alternatív vízszerzési módok, esővíz-hasznosítás, szürkevíz-technológiai rendszerek, víztakarékos szennyvíz-elvezetés és a fentiek berendezési tárgyai. Természetközeli szennyvíztisztítási módok.</w:t>
      </w: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EF73E7" w:rsidRPr="00DD1C55" w14:paraId="64C35CE5" w14:textId="77777777" w:rsidTr="00DD1C55">
        <w:tc>
          <w:tcPr>
            <w:tcW w:w="851" w:type="dxa"/>
          </w:tcPr>
          <w:p w14:paraId="3C262EC0" w14:textId="77777777" w:rsidR="00EF73E7" w:rsidRPr="00DD1C55" w:rsidRDefault="00EF73E7" w:rsidP="00DD1C55">
            <w:pPr>
              <w:spacing w:before="0"/>
              <w:ind w:left="-111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Okt. hét</w:t>
            </w:r>
          </w:p>
        </w:tc>
        <w:tc>
          <w:tcPr>
            <w:tcW w:w="8930" w:type="dxa"/>
          </w:tcPr>
          <w:p w14:paraId="1FDC62B4" w14:textId="6C504004" w:rsidR="00EF73E7" w:rsidRPr="00DD1C55" w:rsidRDefault="00974B5F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Gyakorlat</w:t>
            </w:r>
          </w:p>
        </w:tc>
      </w:tr>
      <w:tr w:rsidR="00EF73E7" w:rsidRPr="00DD1C55" w14:paraId="2CBBD293" w14:textId="77777777" w:rsidTr="00DD1C55">
        <w:tc>
          <w:tcPr>
            <w:tcW w:w="851" w:type="dxa"/>
          </w:tcPr>
          <w:p w14:paraId="35CF9E4D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1.</w:t>
            </w:r>
          </w:p>
          <w:p w14:paraId="78F8B308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930" w:type="dxa"/>
          </w:tcPr>
          <w:p w14:paraId="77F9298C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A tárgy és követelményeinek ismertetése. A vízellátás fejlődése a természeti, társadalmi és gazdasági körülmények kölcsönhatásában.</w:t>
            </w:r>
          </w:p>
        </w:tc>
      </w:tr>
      <w:tr w:rsidR="00EF73E7" w:rsidRPr="00DD1C55" w14:paraId="06B3214F" w14:textId="77777777" w:rsidTr="00DD1C55">
        <w:tc>
          <w:tcPr>
            <w:tcW w:w="851" w:type="dxa"/>
          </w:tcPr>
          <w:p w14:paraId="3C8A2ED7" w14:textId="77777777" w:rsidR="00EF73E7" w:rsidRPr="00DD1C55" w:rsidRDefault="00EF73E7" w:rsidP="00DD1C55">
            <w:pPr>
              <w:spacing w:before="0"/>
              <w:ind w:left="-10157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14:paraId="1C33B4FD" w14:textId="03059F2B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A vízellátás fejlőd</w:t>
            </w:r>
            <w:r w:rsidR="00DD1C55">
              <w:rPr>
                <w:rFonts w:asciiTheme="majorHAnsi" w:hAnsiTheme="majorHAnsi" w:cs="Times New Roman"/>
                <w:sz w:val="22"/>
                <w:szCs w:val="22"/>
              </w:rPr>
              <w:t xml:space="preserve">ésének hatása a környezetre. Klímaingadozás és </w:t>
            </w: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vízellátás</w:t>
            </w:r>
            <w:r w:rsidR="00DD1C55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</w:tr>
      <w:tr w:rsidR="00EF73E7" w:rsidRPr="00DD1C55" w14:paraId="165810EA" w14:textId="77777777" w:rsidTr="00DD1C55">
        <w:trPr>
          <w:trHeight w:val="335"/>
        </w:trPr>
        <w:tc>
          <w:tcPr>
            <w:tcW w:w="851" w:type="dxa"/>
          </w:tcPr>
          <w:p w14:paraId="21118D8C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3.</w:t>
            </w:r>
          </w:p>
        </w:tc>
        <w:tc>
          <w:tcPr>
            <w:tcW w:w="8930" w:type="dxa"/>
          </w:tcPr>
          <w:p w14:paraId="396FF007" w14:textId="68A9795D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A vízhasználat mutatószámai és a fajlagos vízkészlet-nagyság változása.</w:t>
            </w:r>
            <w:r w:rsidR="00974B5F" w:rsidRPr="00DD1C55">
              <w:rPr>
                <w:rFonts w:asciiTheme="majorHAnsi" w:hAnsiTheme="majorHAnsi" w:cs="Times New Roman"/>
                <w:sz w:val="22"/>
                <w:szCs w:val="22"/>
              </w:rPr>
              <w:t xml:space="preserve"> Házi feladat kiadása.</w:t>
            </w:r>
          </w:p>
        </w:tc>
      </w:tr>
      <w:tr w:rsidR="00EF73E7" w:rsidRPr="00DD1C55" w14:paraId="31655CB7" w14:textId="77777777" w:rsidTr="00DD1C55">
        <w:trPr>
          <w:trHeight w:val="353"/>
        </w:trPr>
        <w:tc>
          <w:tcPr>
            <w:tcW w:w="851" w:type="dxa"/>
          </w:tcPr>
          <w:p w14:paraId="4B8DA8B7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4.</w:t>
            </w:r>
          </w:p>
        </w:tc>
        <w:tc>
          <w:tcPr>
            <w:tcW w:w="8930" w:type="dxa"/>
          </w:tcPr>
          <w:p w14:paraId="148E47CE" w14:textId="7243B09E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Víztakarékosság mint a fenntartható vízellátás eszköze. Víztakarékos szerelvények</w:t>
            </w:r>
            <w:r w:rsidR="00DD1C55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</w:tr>
      <w:tr w:rsidR="00EF73E7" w:rsidRPr="00DD1C55" w14:paraId="0C9C0C8B" w14:textId="77777777" w:rsidTr="00DD1C55">
        <w:trPr>
          <w:trHeight w:val="353"/>
        </w:trPr>
        <w:tc>
          <w:tcPr>
            <w:tcW w:w="851" w:type="dxa"/>
          </w:tcPr>
          <w:p w14:paraId="18A298C6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5.</w:t>
            </w:r>
          </w:p>
        </w:tc>
        <w:tc>
          <w:tcPr>
            <w:tcW w:w="8930" w:type="dxa"/>
          </w:tcPr>
          <w:p w14:paraId="30CB9190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Esővíz-hasznosítás elméleti lehetőségei.</w:t>
            </w:r>
          </w:p>
        </w:tc>
      </w:tr>
      <w:tr w:rsidR="00EF73E7" w:rsidRPr="00DD1C55" w14:paraId="3C7423D3" w14:textId="77777777" w:rsidTr="00DD1C55">
        <w:trPr>
          <w:trHeight w:val="276"/>
        </w:trPr>
        <w:tc>
          <w:tcPr>
            <w:tcW w:w="851" w:type="dxa"/>
          </w:tcPr>
          <w:p w14:paraId="5999F20F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8930" w:type="dxa"/>
          </w:tcPr>
          <w:p w14:paraId="01E800D2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Esővíz-hasznosítás épületen belül és kívül – gyakorlati példák.</w:t>
            </w:r>
          </w:p>
        </w:tc>
      </w:tr>
      <w:tr w:rsidR="00EF73E7" w:rsidRPr="00DD1C55" w14:paraId="2F08793C" w14:textId="77777777" w:rsidTr="00DD1C55">
        <w:trPr>
          <w:trHeight w:val="284"/>
        </w:trPr>
        <w:tc>
          <w:tcPr>
            <w:tcW w:w="851" w:type="dxa"/>
          </w:tcPr>
          <w:p w14:paraId="4E8F1D96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7.</w:t>
            </w:r>
          </w:p>
        </w:tc>
        <w:tc>
          <w:tcPr>
            <w:tcW w:w="8930" w:type="dxa"/>
          </w:tcPr>
          <w:p w14:paraId="636EDC5B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Csapadékvíz-gazdálkodás épületgépészeti vonatkozásai.</w:t>
            </w:r>
          </w:p>
        </w:tc>
      </w:tr>
      <w:tr w:rsidR="00EF73E7" w:rsidRPr="00DD1C55" w14:paraId="5FD9445E" w14:textId="77777777" w:rsidTr="00DD1C55">
        <w:trPr>
          <w:trHeight w:val="118"/>
        </w:trPr>
        <w:tc>
          <w:tcPr>
            <w:tcW w:w="851" w:type="dxa"/>
          </w:tcPr>
          <w:p w14:paraId="731FB508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8.</w:t>
            </w:r>
          </w:p>
        </w:tc>
        <w:tc>
          <w:tcPr>
            <w:tcW w:w="8930" w:type="dxa"/>
          </w:tcPr>
          <w:p w14:paraId="2270E3A0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Szürkevíz-hasznosító rendszerek elve és működése.</w:t>
            </w:r>
          </w:p>
        </w:tc>
      </w:tr>
      <w:tr w:rsidR="00EF73E7" w:rsidRPr="00DD1C55" w14:paraId="33561895" w14:textId="77777777" w:rsidTr="00DD1C55">
        <w:tc>
          <w:tcPr>
            <w:tcW w:w="851" w:type="dxa"/>
          </w:tcPr>
          <w:p w14:paraId="2D20C2C9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9.</w:t>
            </w:r>
          </w:p>
        </w:tc>
        <w:tc>
          <w:tcPr>
            <w:tcW w:w="8930" w:type="dxa"/>
          </w:tcPr>
          <w:p w14:paraId="5CDD5D6D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 xml:space="preserve">Szürkevíz-hasznosítás a gyakorlatban, a csökkenő vízfelhasználás következményei a közműhálózatokban.  </w:t>
            </w:r>
          </w:p>
        </w:tc>
      </w:tr>
      <w:tr w:rsidR="00EF73E7" w:rsidRPr="00DD1C55" w14:paraId="0C24FCC7" w14:textId="77777777" w:rsidTr="00DD1C55">
        <w:tc>
          <w:tcPr>
            <w:tcW w:w="851" w:type="dxa"/>
          </w:tcPr>
          <w:p w14:paraId="08F9DAE2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10.</w:t>
            </w:r>
          </w:p>
        </w:tc>
        <w:tc>
          <w:tcPr>
            <w:tcW w:w="8930" w:type="dxa"/>
            <w:vAlign w:val="center"/>
          </w:tcPr>
          <w:p w14:paraId="744EBFE7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Újszerű vízellátó rendszer kialakítások, alternatív vízvételi- és szaniter-berendezések.</w:t>
            </w:r>
          </w:p>
        </w:tc>
      </w:tr>
      <w:tr w:rsidR="00EF73E7" w:rsidRPr="00DD1C55" w14:paraId="0B4FB757" w14:textId="77777777" w:rsidTr="00DD1C55">
        <w:trPr>
          <w:trHeight w:val="115"/>
        </w:trPr>
        <w:tc>
          <w:tcPr>
            <w:tcW w:w="851" w:type="dxa"/>
          </w:tcPr>
          <w:p w14:paraId="02021B83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11.</w:t>
            </w:r>
          </w:p>
        </w:tc>
        <w:tc>
          <w:tcPr>
            <w:tcW w:w="8930" w:type="dxa"/>
          </w:tcPr>
          <w:p w14:paraId="25E6336E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b/>
                <w:sz w:val="22"/>
                <w:szCs w:val="22"/>
              </w:rPr>
              <w:t>Szünet</w:t>
            </w:r>
          </w:p>
        </w:tc>
      </w:tr>
      <w:tr w:rsidR="00EF73E7" w:rsidRPr="00DD1C55" w14:paraId="59980AA7" w14:textId="77777777" w:rsidTr="00DD1C55">
        <w:tc>
          <w:tcPr>
            <w:tcW w:w="851" w:type="dxa"/>
          </w:tcPr>
          <w:p w14:paraId="0C394DD0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12.</w:t>
            </w:r>
          </w:p>
        </w:tc>
        <w:tc>
          <w:tcPr>
            <w:tcW w:w="8930" w:type="dxa"/>
          </w:tcPr>
          <w:p w14:paraId="0D6AE9CD" w14:textId="10C2BACF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Természetközeli szennyvízkezelés.</w:t>
            </w:r>
            <w:r w:rsidR="00974B5F" w:rsidRPr="00DD1C55">
              <w:rPr>
                <w:rFonts w:asciiTheme="majorHAnsi" w:hAnsiTheme="majorHAnsi" w:cs="Times New Roman"/>
                <w:sz w:val="22"/>
                <w:szCs w:val="22"/>
              </w:rPr>
              <w:t xml:space="preserve"> Feladatbeadás.</w:t>
            </w:r>
          </w:p>
        </w:tc>
      </w:tr>
      <w:tr w:rsidR="00EF73E7" w:rsidRPr="00DD1C55" w14:paraId="2AA21751" w14:textId="77777777" w:rsidTr="00DD1C55">
        <w:tc>
          <w:tcPr>
            <w:tcW w:w="851" w:type="dxa"/>
          </w:tcPr>
          <w:p w14:paraId="38DD96D0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13.</w:t>
            </w:r>
          </w:p>
        </w:tc>
        <w:tc>
          <w:tcPr>
            <w:tcW w:w="8930" w:type="dxa"/>
          </w:tcPr>
          <w:p w14:paraId="27EF83DA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Energia- és vízhatékony használati melegvíz-ellátás. Ivóvízhigiénia és –komfort.</w:t>
            </w:r>
          </w:p>
        </w:tc>
      </w:tr>
      <w:tr w:rsidR="00EF73E7" w:rsidRPr="00DD1C55" w14:paraId="08E21301" w14:textId="77777777" w:rsidTr="00DD1C55">
        <w:tc>
          <w:tcPr>
            <w:tcW w:w="851" w:type="dxa"/>
          </w:tcPr>
          <w:p w14:paraId="27653F17" w14:textId="77777777" w:rsidR="00EF73E7" w:rsidRPr="00DD1C55" w:rsidRDefault="00EF73E7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14.</w:t>
            </w:r>
          </w:p>
        </w:tc>
        <w:tc>
          <w:tcPr>
            <w:tcW w:w="8930" w:type="dxa"/>
          </w:tcPr>
          <w:p w14:paraId="723225D3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Megújuló erőforrások a vízellátásban.</w:t>
            </w:r>
          </w:p>
        </w:tc>
      </w:tr>
      <w:tr w:rsidR="00EF73E7" w:rsidRPr="00DD1C55" w14:paraId="6D473548" w14:textId="77777777" w:rsidTr="00DD1C55">
        <w:tc>
          <w:tcPr>
            <w:tcW w:w="851" w:type="dxa"/>
          </w:tcPr>
          <w:p w14:paraId="63FFD0DF" w14:textId="2D9489CE" w:rsidR="00EF73E7" w:rsidRPr="00DD1C55" w:rsidRDefault="00B41C8C" w:rsidP="00DD1C55">
            <w:pPr>
              <w:spacing w:before="0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15</w:t>
            </w:r>
            <w:r w:rsidR="00EF73E7" w:rsidRPr="00DD1C55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14:paraId="67FCEE19" w14:textId="77777777" w:rsidR="00EF73E7" w:rsidRPr="00DD1C55" w:rsidRDefault="00EF73E7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D1C55">
              <w:rPr>
                <w:rFonts w:asciiTheme="majorHAnsi" w:hAnsiTheme="majorHAnsi" w:cs="Times New Roman"/>
                <w:sz w:val="22"/>
                <w:szCs w:val="22"/>
              </w:rPr>
              <w:t>Beszámolók, félév lezárása, értékelés.</w:t>
            </w:r>
          </w:p>
        </w:tc>
      </w:tr>
    </w:tbl>
    <w:p w14:paraId="203681A3" w14:textId="77777777" w:rsidR="00DD1C55" w:rsidRDefault="00DD1C55">
      <w:r>
        <w:br w:type="page"/>
      </w: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DD1C55" w:rsidRPr="00DD1C55" w14:paraId="22A42B39" w14:textId="77777777" w:rsidTr="00DD1C55">
        <w:tc>
          <w:tcPr>
            <w:tcW w:w="851" w:type="dxa"/>
          </w:tcPr>
          <w:p w14:paraId="5DC31637" w14:textId="37E9D253" w:rsidR="00DD1C55" w:rsidRPr="00DD1C55" w:rsidRDefault="00DD1C55" w:rsidP="00DD1C55">
            <w:pPr>
              <w:spacing w:before="0"/>
              <w:ind w:right="-108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930" w:type="dxa"/>
          </w:tcPr>
          <w:p w14:paraId="203815AC" w14:textId="77777777" w:rsidR="00DD1C55" w:rsidRPr="00DD1C55" w:rsidRDefault="00DD1C55" w:rsidP="00DD1C55">
            <w:pPr>
              <w:spacing w:before="0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23C91BA5" w14:textId="067377EB" w:rsidR="009B4F16" w:rsidRPr="00DD1C55" w:rsidRDefault="009B4F16" w:rsidP="00DD1C55">
      <w:pPr>
        <w:pStyle w:val="Cmsor2"/>
        <w:spacing w:before="0"/>
        <w:jc w:val="both"/>
        <w:rPr>
          <w:rFonts w:asciiTheme="majorHAnsi" w:hAnsiTheme="majorHAnsi" w:cs="Times New Roman"/>
        </w:rPr>
      </w:pPr>
      <w:r w:rsidRPr="00DD1C55">
        <w:rPr>
          <w:rFonts w:asciiTheme="majorHAnsi" w:hAnsiTheme="majorHAnsi" w:cs="Times New Roman"/>
        </w:rPr>
        <w:t>S</w:t>
      </w:r>
      <w:r w:rsidR="00B41C8C" w:rsidRPr="00DD1C55">
        <w:rPr>
          <w:rFonts w:asciiTheme="majorHAnsi" w:hAnsiTheme="majorHAnsi" w:cs="Times New Roman"/>
        </w:rPr>
        <w:t>z</w:t>
      </w:r>
      <w:r w:rsidRPr="00DD1C55">
        <w:rPr>
          <w:rFonts w:asciiTheme="majorHAnsi" w:hAnsiTheme="majorHAnsi" w:cs="Times New Roman"/>
        </w:rPr>
        <w:t xml:space="preserve">ámonkérési és értékelési rendszere </w:t>
      </w:r>
    </w:p>
    <w:p w14:paraId="0CC7F874" w14:textId="7ECF881D" w:rsidR="009B4F16" w:rsidRPr="00DD1C55" w:rsidRDefault="009B4F16" w:rsidP="00DD1C55">
      <w:pPr>
        <w:widowControl w:val="0"/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i/>
          <w:sz w:val="22"/>
          <w:szCs w:val="22"/>
        </w:rPr>
        <w:t>Részvétel:</w:t>
      </w:r>
      <w:r w:rsidR="00001211" w:rsidRPr="00DD1C55">
        <w:rPr>
          <w:rFonts w:asciiTheme="majorHAnsi" w:hAnsiTheme="majorHAnsi" w:cs="Times New Roman"/>
          <w:sz w:val="22"/>
          <w:szCs w:val="22"/>
        </w:rPr>
        <w:t xml:space="preserve"> A tanórák min. 70 %-án kötelező a jelenlét.</w:t>
      </w:r>
    </w:p>
    <w:p w14:paraId="6E932333" w14:textId="5075E411" w:rsidR="009B4F16" w:rsidRPr="00DD1C55" w:rsidRDefault="009B4F16" w:rsidP="00DD1C55">
      <w:pPr>
        <w:widowControl w:val="0"/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i/>
          <w:sz w:val="22"/>
          <w:szCs w:val="22"/>
        </w:rPr>
        <w:t>Aláírás / Félévközi jegy feltétele</w:t>
      </w:r>
      <w:r w:rsidRPr="00DD1C55">
        <w:rPr>
          <w:rFonts w:asciiTheme="majorHAnsi" w:hAnsiTheme="majorHAnsi" w:cs="Times New Roman"/>
          <w:sz w:val="22"/>
          <w:szCs w:val="22"/>
        </w:rPr>
        <w:t>:</w:t>
      </w:r>
      <w:r w:rsidR="00001211" w:rsidRPr="00DD1C55">
        <w:rPr>
          <w:rFonts w:asciiTheme="majorHAnsi" w:hAnsiTheme="majorHAnsi" w:cs="Times New Roman"/>
          <w:sz w:val="22"/>
          <w:szCs w:val="22"/>
        </w:rPr>
        <w:t xml:space="preserve"> </w:t>
      </w:r>
      <w:r w:rsidR="00974B5F" w:rsidRPr="00DD1C55">
        <w:rPr>
          <w:rFonts w:asciiTheme="majorHAnsi" w:hAnsiTheme="majorHAnsi" w:cs="Times New Roman"/>
          <w:sz w:val="22"/>
          <w:szCs w:val="22"/>
        </w:rPr>
        <w:t>H</w:t>
      </w:r>
      <w:r w:rsidR="00001211" w:rsidRPr="00DD1C55">
        <w:rPr>
          <w:rFonts w:asciiTheme="majorHAnsi" w:hAnsiTheme="majorHAnsi" w:cs="Times New Roman"/>
          <w:sz w:val="22"/>
          <w:szCs w:val="22"/>
        </w:rPr>
        <w:t xml:space="preserve">ázi </w:t>
      </w:r>
      <w:r w:rsidR="00974B5F" w:rsidRPr="00DD1C55">
        <w:rPr>
          <w:rFonts w:asciiTheme="majorHAnsi" w:hAnsiTheme="majorHAnsi" w:cs="Times New Roman"/>
          <w:sz w:val="22"/>
          <w:szCs w:val="22"/>
        </w:rPr>
        <w:t xml:space="preserve">tervezési feladat beadás. </w:t>
      </w:r>
    </w:p>
    <w:p w14:paraId="4588984A" w14:textId="77777777" w:rsidR="009B4F16" w:rsidRPr="00DD1C55" w:rsidRDefault="009B4F16" w:rsidP="00DD1C55">
      <w:pPr>
        <w:widowControl w:val="0"/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i/>
          <w:sz w:val="22"/>
          <w:szCs w:val="22"/>
        </w:rPr>
        <w:t>Az érdemjegy kialakításának módja</w:t>
      </w:r>
      <w:r w:rsidRPr="00DD1C55">
        <w:rPr>
          <w:rFonts w:asciiTheme="majorHAnsi" w:hAnsiTheme="majorHAnsi" w:cs="Times New Roman"/>
          <w:sz w:val="22"/>
          <w:szCs w:val="22"/>
        </w:rPr>
        <w:t>:</w:t>
      </w:r>
    </w:p>
    <w:p w14:paraId="74A3AA9A" w14:textId="3D109003" w:rsidR="00B41C8C" w:rsidRPr="00DD1C55" w:rsidRDefault="00B41C8C" w:rsidP="00DD1C55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ab/>
        <w:t>0–</w:t>
      </w:r>
      <w:r w:rsidR="00974B5F" w:rsidRPr="00DD1C55">
        <w:rPr>
          <w:rFonts w:asciiTheme="majorHAnsi" w:hAnsiTheme="majorHAnsi" w:cs="Times New Roman"/>
          <w:sz w:val="22"/>
          <w:szCs w:val="22"/>
        </w:rPr>
        <w:t>4</w:t>
      </w:r>
      <w:r w:rsidR="00A82BEF" w:rsidRPr="00DD1C55">
        <w:rPr>
          <w:rFonts w:asciiTheme="majorHAnsi" w:hAnsiTheme="majorHAnsi" w:cs="Times New Roman"/>
          <w:sz w:val="22"/>
          <w:szCs w:val="22"/>
        </w:rPr>
        <w:t>9</w:t>
      </w:r>
      <w:r w:rsidRPr="00DD1C55">
        <w:rPr>
          <w:rFonts w:asciiTheme="majorHAnsi" w:hAnsiTheme="majorHAnsi" w:cs="Times New Roman"/>
          <w:sz w:val="22"/>
          <w:szCs w:val="22"/>
        </w:rPr>
        <w:t>%</w:t>
      </w:r>
      <w:r w:rsidRPr="00DD1C55">
        <w:rPr>
          <w:rFonts w:asciiTheme="majorHAnsi" w:hAnsiTheme="majorHAnsi" w:cs="Times New Roman"/>
          <w:sz w:val="22"/>
          <w:szCs w:val="22"/>
        </w:rPr>
        <w:tab/>
        <w:t>elégtelen</w:t>
      </w:r>
      <w:r w:rsidRPr="00DD1C55">
        <w:rPr>
          <w:rFonts w:asciiTheme="majorHAnsi" w:hAnsiTheme="majorHAnsi" w:cs="Times New Roman"/>
          <w:sz w:val="22"/>
          <w:szCs w:val="22"/>
        </w:rPr>
        <w:tab/>
        <w:t>/1/</w:t>
      </w:r>
    </w:p>
    <w:p w14:paraId="45D4CC68" w14:textId="173CA3BE" w:rsidR="00B41C8C" w:rsidRPr="00DD1C55" w:rsidRDefault="00B41C8C" w:rsidP="00DD1C55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ab/>
      </w:r>
      <w:r w:rsidR="00974B5F" w:rsidRPr="00DD1C55">
        <w:rPr>
          <w:rFonts w:asciiTheme="majorHAnsi" w:hAnsiTheme="majorHAnsi" w:cs="Times New Roman"/>
          <w:sz w:val="22"/>
          <w:szCs w:val="22"/>
        </w:rPr>
        <w:t>5</w:t>
      </w:r>
      <w:r w:rsidRPr="00DD1C55">
        <w:rPr>
          <w:rFonts w:asciiTheme="majorHAnsi" w:hAnsiTheme="majorHAnsi" w:cs="Times New Roman"/>
          <w:sz w:val="22"/>
          <w:szCs w:val="22"/>
        </w:rPr>
        <w:t>0–5</w:t>
      </w:r>
      <w:r w:rsidR="00974B5F" w:rsidRPr="00DD1C55">
        <w:rPr>
          <w:rFonts w:asciiTheme="majorHAnsi" w:hAnsiTheme="majorHAnsi" w:cs="Times New Roman"/>
          <w:sz w:val="22"/>
          <w:szCs w:val="22"/>
        </w:rPr>
        <w:t>9</w:t>
      </w:r>
      <w:r w:rsidRPr="00DD1C55">
        <w:rPr>
          <w:rFonts w:asciiTheme="majorHAnsi" w:hAnsiTheme="majorHAnsi" w:cs="Times New Roman"/>
          <w:sz w:val="22"/>
          <w:szCs w:val="22"/>
        </w:rPr>
        <w:t>%</w:t>
      </w:r>
      <w:r w:rsidRPr="00DD1C55">
        <w:rPr>
          <w:rFonts w:asciiTheme="majorHAnsi" w:hAnsiTheme="majorHAnsi" w:cs="Times New Roman"/>
          <w:sz w:val="22"/>
          <w:szCs w:val="22"/>
        </w:rPr>
        <w:tab/>
        <w:t>elégséges</w:t>
      </w:r>
      <w:r w:rsidRPr="00DD1C55">
        <w:rPr>
          <w:rFonts w:asciiTheme="majorHAnsi" w:hAnsiTheme="majorHAnsi" w:cs="Times New Roman"/>
          <w:sz w:val="22"/>
          <w:szCs w:val="22"/>
        </w:rPr>
        <w:tab/>
        <w:t>/2/</w:t>
      </w:r>
    </w:p>
    <w:p w14:paraId="0FB2925E" w14:textId="51E086FB" w:rsidR="00B41C8C" w:rsidRPr="00DD1C55" w:rsidRDefault="00B41C8C" w:rsidP="00DD1C55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ab/>
      </w:r>
      <w:r w:rsidR="00974B5F" w:rsidRPr="00DD1C55">
        <w:rPr>
          <w:rFonts w:asciiTheme="majorHAnsi" w:hAnsiTheme="majorHAnsi" w:cs="Times New Roman"/>
          <w:sz w:val="22"/>
          <w:szCs w:val="22"/>
        </w:rPr>
        <w:t>60</w:t>
      </w:r>
      <w:r w:rsidRPr="00DD1C55">
        <w:rPr>
          <w:rFonts w:asciiTheme="majorHAnsi" w:hAnsiTheme="majorHAnsi" w:cs="Times New Roman"/>
          <w:sz w:val="22"/>
          <w:szCs w:val="22"/>
        </w:rPr>
        <w:t>–69%</w:t>
      </w:r>
      <w:r w:rsidRPr="00DD1C55">
        <w:rPr>
          <w:rFonts w:asciiTheme="majorHAnsi" w:hAnsiTheme="majorHAnsi" w:cs="Times New Roman"/>
          <w:sz w:val="22"/>
          <w:szCs w:val="22"/>
        </w:rPr>
        <w:tab/>
        <w:t>közepes</w:t>
      </w:r>
      <w:r w:rsidRPr="00DD1C55">
        <w:rPr>
          <w:rFonts w:asciiTheme="majorHAnsi" w:hAnsiTheme="majorHAnsi" w:cs="Times New Roman"/>
          <w:sz w:val="22"/>
          <w:szCs w:val="22"/>
        </w:rPr>
        <w:tab/>
        <w:t>/3/</w:t>
      </w:r>
    </w:p>
    <w:p w14:paraId="50A5D8CB" w14:textId="77777777" w:rsidR="00B41C8C" w:rsidRPr="00DD1C55" w:rsidRDefault="00B41C8C" w:rsidP="00DD1C55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ab/>
        <w:t>70–84%</w:t>
      </w:r>
      <w:r w:rsidRPr="00DD1C55">
        <w:rPr>
          <w:rFonts w:asciiTheme="majorHAnsi" w:hAnsiTheme="majorHAnsi" w:cs="Times New Roman"/>
          <w:sz w:val="22"/>
          <w:szCs w:val="22"/>
        </w:rPr>
        <w:tab/>
        <w:t>jó</w:t>
      </w:r>
      <w:r w:rsidRPr="00DD1C55">
        <w:rPr>
          <w:rFonts w:asciiTheme="majorHAnsi" w:hAnsiTheme="majorHAnsi" w:cs="Times New Roman"/>
          <w:sz w:val="22"/>
          <w:szCs w:val="22"/>
        </w:rPr>
        <w:tab/>
        <w:t>/4/</w:t>
      </w:r>
    </w:p>
    <w:p w14:paraId="057AC9E1" w14:textId="77777777" w:rsidR="00B41C8C" w:rsidRPr="00DD1C55" w:rsidRDefault="00B41C8C" w:rsidP="00DD1C55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ab/>
        <w:t>85–100%</w:t>
      </w:r>
      <w:r w:rsidRPr="00DD1C55">
        <w:rPr>
          <w:rFonts w:asciiTheme="majorHAnsi" w:hAnsiTheme="majorHAnsi" w:cs="Times New Roman"/>
          <w:sz w:val="22"/>
          <w:szCs w:val="22"/>
        </w:rPr>
        <w:tab/>
        <w:t>jeles</w:t>
      </w:r>
      <w:r w:rsidRPr="00DD1C55">
        <w:rPr>
          <w:rFonts w:asciiTheme="majorHAnsi" w:hAnsiTheme="majorHAnsi" w:cs="Times New Roman"/>
          <w:sz w:val="22"/>
          <w:szCs w:val="22"/>
        </w:rPr>
        <w:tab/>
        <w:t>/5/</w:t>
      </w:r>
    </w:p>
    <w:p w14:paraId="3C1311BE" w14:textId="77777777" w:rsidR="009B4F16" w:rsidRPr="00DD1C55" w:rsidRDefault="009B4F16" w:rsidP="00DD1C55">
      <w:pPr>
        <w:pStyle w:val="Cmsor2"/>
        <w:spacing w:before="0"/>
        <w:jc w:val="left"/>
        <w:rPr>
          <w:rFonts w:asciiTheme="majorHAnsi" w:hAnsiTheme="majorHAnsi" w:cs="Times New Roman"/>
        </w:rPr>
      </w:pPr>
      <w:r w:rsidRPr="00DD1C55">
        <w:rPr>
          <w:rFonts w:asciiTheme="majorHAnsi" w:hAnsiTheme="majorHAnsi" w:cs="Times New Roman"/>
        </w:rPr>
        <w:t>Kötelező és ajánlott irodalom</w:t>
      </w:r>
    </w:p>
    <w:p w14:paraId="23AE9801" w14:textId="77777777" w:rsidR="00EF07DB" w:rsidRPr="00DD1C55" w:rsidRDefault="00EF07DB" w:rsidP="00DD1C55">
      <w:pPr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>1. Eördöghné Miklós Mária: Épületek fenntartható vízellátása elektronikus jegyzet, 2014</w:t>
      </w:r>
    </w:p>
    <w:p w14:paraId="2D2F6AAE" w14:textId="0A532180" w:rsidR="00EF07DB" w:rsidRPr="00DD1C55" w:rsidRDefault="00EF07DB" w:rsidP="00DD1C55">
      <w:pPr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>2. Barna – Eördöghné – Szánthó - Balla: A biztonságos ivóvízellátás megteremtésének tervezési</w:t>
      </w:r>
      <w:r w:rsidR="00297C46" w:rsidRPr="00DD1C55">
        <w:rPr>
          <w:rFonts w:asciiTheme="majorHAnsi" w:hAnsiTheme="majorHAnsi" w:cs="Times New Roman"/>
          <w:sz w:val="22"/>
          <w:szCs w:val="22"/>
        </w:rPr>
        <w:t xml:space="preserve"> </w:t>
      </w:r>
      <w:r w:rsidRPr="00DD1C55">
        <w:rPr>
          <w:rFonts w:asciiTheme="majorHAnsi" w:hAnsiTheme="majorHAnsi" w:cs="Times New Roman"/>
          <w:sz w:val="22"/>
          <w:szCs w:val="22"/>
        </w:rPr>
        <w:t>eszközei, 2017 MMK, Mérnökkönyvtár</w:t>
      </w:r>
    </w:p>
    <w:p w14:paraId="708599A5" w14:textId="460C4132" w:rsidR="00EF07DB" w:rsidRPr="00DD1C55" w:rsidRDefault="00EF07DB" w:rsidP="00DD1C55">
      <w:pPr>
        <w:spacing w:before="0"/>
        <w:jc w:val="left"/>
        <w:rPr>
          <w:rFonts w:asciiTheme="majorHAnsi" w:hAnsiTheme="majorHAnsi" w:cs="Times New Roman"/>
          <w:sz w:val="22"/>
          <w:szCs w:val="22"/>
        </w:rPr>
      </w:pPr>
      <w:r w:rsidRPr="00DD1C55">
        <w:rPr>
          <w:rFonts w:asciiTheme="majorHAnsi" w:hAnsiTheme="majorHAnsi" w:cs="Times New Roman"/>
          <w:sz w:val="22"/>
          <w:szCs w:val="22"/>
        </w:rPr>
        <w:t>3. elektronikus előadásvázlatok, az előadásokon megadott szakcikkek</w:t>
      </w:r>
    </w:p>
    <w:p w14:paraId="666A5DD9" w14:textId="5629C1C8" w:rsidR="00974B5F" w:rsidRPr="00DD1C55" w:rsidRDefault="00974B5F" w:rsidP="00DD1C55">
      <w:pPr>
        <w:spacing w:before="0"/>
        <w:jc w:val="left"/>
        <w:rPr>
          <w:rFonts w:asciiTheme="majorHAnsi" w:hAnsiTheme="majorHAnsi" w:cs="Times New Roman"/>
          <w:sz w:val="22"/>
          <w:szCs w:val="22"/>
        </w:rPr>
      </w:pPr>
    </w:p>
    <w:p w14:paraId="754E1539" w14:textId="5E4E9B57" w:rsidR="00974B5F" w:rsidRPr="00974B5F" w:rsidRDefault="00974B5F" w:rsidP="00B41C8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6EFAF6E" w14:textId="77777777" w:rsidR="00F21FCE" w:rsidRDefault="001C017B" w:rsidP="00974B5F">
      <w:pPr>
        <w:pStyle w:val="Listaszerbekezds"/>
        <w:tabs>
          <w:tab w:val="center" w:pos="2268"/>
          <w:tab w:val="center" w:pos="65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B5F">
        <w:rPr>
          <w:rFonts w:ascii="Times New Roman" w:hAnsi="Times New Roman" w:cs="Times New Roman"/>
          <w:sz w:val="24"/>
          <w:szCs w:val="24"/>
        </w:rPr>
        <w:t>20</w:t>
      </w:r>
      <w:r w:rsidR="00974B5F">
        <w:rPr>
          <w:rFonts w:ascii="Times New Roman" w:hAnsi="Times New Roman" w:cs="Times New Roman"/>
          <w:sz w:val="24"/>
          <w:szCs w:val="24"/>
        </w:rPr>
        <w:t>2</w:t>
      </w:r>
      <w:r w:rsidR="00F21FCE">
        <w:rPr>
          <w:rFonts w:ascii="Times New Roman" w:hAnsi="Times New Roman" w:cs="Times New Roman"/>
          <w:sz w:val="24"/>
          <w:szCs w:val="24"/>
        </w:rPr>
        <w:t>2</w:t>
      </w:r>
      <w:r w:rsidRPr="00974B5F">
        <w:rPr>
          <w:rFonts w:ascii="Times New Roman" w:hAnsi="Times New Roman" w:cs="Times New Roman"/>
          <w:sz w:val="24"/>
          <w:szCs w:val="24"/>
        </w:rPr>
        <w:t xml:space="preserve">. </w:t>
      </w:r>
      <w:r w:rsidR="00974B5F">
        <w:rPr>
          <w:rFonts w:ascii="Times New Roman" w:hAnsi="Times New Roman" w:cs="Times New Roman"/>
          <w:sz w:val="24"/>
          <w:szCs w:val="24"/>
        </w:rPr>
        <w:t>0</w:t>
      </w:r>
      <w:r w:rsidR="00F21FCE">
        <w:rPr>
          <w:rFonts w:ascii="Times New Roman" w:hAnsi="Times New Roman" w:cs="Times New Roman"/>
          <w:sz w:val="24"/>
          <w:szCs w:val="24"/>
        </w:rPr>
        <w:t>2</w:t>
      </w:r>
      <w:r w:rsidR="00974B5F">
        <w:rPr>
          <w:rFonts w:ascii="Times New Roman" w:hAnsi="Times New Roman" w:cs="Times New Roman"/>
          <w:sz w:val="24"/>
          <w:szCs w:val="24"/>
        </w:rPr>
        <w:t xml:space="preserve">. </w:t>
      </w:r>
      <w:r w:rsidR="00F21FCE">
        <w:rPr>
          <w:rFonts w:ascii="Times New Roman" w:hAnsi="Times New Roman" w:cs="Times New Roman"/>
          <w:sz w:val="24"/>
          <w:szCs w:val="24"/>
        </w:rPr>
        <w:t>09</w:t>
      </w:r>
      <w:r w:rsidR="00974B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45774" w14:textId="5AF11565" w:rsidR="001C017B" w:rsidRPr="00974B5F" w:rsidRDefault="00F21FCE" w:rsidP="00974B5F">
      <w:pPr>
        <w:pStyle w:val="Listaszerbekezds"/>
        <w:tabs>
          <w:tab w:val="center" w:pos="2268"/>
          <w:tab w:val="center" w:pos="65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Eördöghné Dr. Miklós Mária PhD egyetemi docens, </w:t>
      </w:r>
      <w:r w:rsidRPr="007D3646">
        <w:rPr>
          <w:rFonts w:asciiTheme="majorHAnsi" w:hAnsiTheme="majorHAnsi"/>
          <w:sz w:val="22"/>
          <w:szCs w:val="22"/>
        </w:rPr>
        <w:t>tantárgyfelelős</w:t>
      </w:r>
      <w:r>
        <w:rPr>
          <w:rFonts w:asciiTheme="majorHAnsi" w:hAnsiTheme="majorHAnsi"/>
          <w:sz w:val="22"/>
          <w:szCs w:val="22"/>
        </w:rPr>
        <w:t>, sk.</w:t>
      </w:r>
    </w:p>
    <w:p w14:paraId="398371A4" w14:textId="4044B3F6" w:rsidR="001C017B" w:rsidRPr="00974B5F" w:rsidRDefault="001C017B" w:rsidP="00B41C8C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="Times New Roman" w:hAnsi="Times New Roman" w:cs="Times New Roman"/>
        </w:rPr>
        <w:sectPr w:rsidR="001C017B" w:rsidRPr="00974B5F" w:rsidSect="00DD1C55">
          <w:footerReference w:type="default" r:id="rId7"/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  <w:r w:rsidRPr="00974B5F">
        <w:rPr>
          <w:rFonts w:ascii="Times New Roman" w:hAnsi="Times New Roman" w:cs="Times New Roman"/>
        </w:rPr>
        <w:tab/>
      </w:r>
      <w:r w:rsidRPr="00974B5F">
        <w:rPr>
          <w:rFonts w:ascii="Times New Roman" w:hAnsi="Times New Roman" w:cs="Times New Roman"/>
        </w:rPr>
        <w:tab/>
      </w:r>
    </w:p>
    <w:p w14:paraId="1B01C6D6" w14:textId="77777777" w:rsidR="00914794" w:rsidRPr="00974B5F" w:rsidRDefault="00064593" w:rsidP="008273BB">
      <w:pPr>
        <w:pStyle w:val="Cmsor2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>Ütemezés</w:t>
      </w: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38"/>
        <w:gridCol w:w="1754"/>
        <w:gridCol w:w="467"/>
        <w:gridCol w:w="33"/>
        <w:gridCol w:w="450"/>
        <w:gridCol w:w="49"/>
        <w:gridCol w:w="419"/>
        <w:gridCol w:w="80"/>
        <w:gridCol w:w="399"/>
        <w:gridCol w:w="100"/>
        <w:gridCol w:w="369"/>
        <w:gridCol w:w="131"/>
        <w:gridCol w:w="349"/>
        <w:gridCol w:w="150"/>
        <w:gridCol w:w="332"/>
        <w:gridCol w:w="164"/>
        <w:gridCol w:w="315"/>
        <w:gridCol w:w="184"/>
        <w:gridCol w:w="299"/>
        <w:gridCol w:w="202"/>
        <w:gridCol w:w="381"/>
        <w:gridCol w:w="300"/>
        <w:gridCol w:w="266"/>
        <w:gridCol w:w="252"/>
        <w:gridCol w:w="232"/>
        <w:gridCol w:w="286"/>
        <w:gridCol w:w="179"/>
        <w:gridCol w:w="339"/>
        <w:gridCol w:w="437"/>
        <w:gridCol w:w="87"/>
        <w:gridCol w:w="521"/>
        <w:gridCol w:w="16"/>
        <w:gridCol w:w="524"/>
        <w:gridCol w:w="524"/>
        <w:gridCol w:w="557"/>
        <w:gridCol w:w="59"/>
        <w:gridCol w:w="521"/>
        <w:gridCol w:w="25"/>
        <w:gridCol w:w="560"/>
      </w:tblGrid>
      <w:tr w:rsidR="00B41C8C" w:rsidRPr="00974B5F" w14:paraId="38A24E6E" w14:textId="77777777" w:rsidTr="00C629C8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3A30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4F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C16" w14:textId="77777777" w:rsidR="00B41C8C" w:rsidRPr="00974B5F" w:rsidRDefault="00B41C8C" w:rsidP="00C629C8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="Times New Roman" w:eastAsia="Times New Roman" w:hAnsi="Times New Roman" w:cs="Times New Roman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37D" w14:textId="77777777" w:rsidR="00B41C8C" w:rsidRPr="00974B5F" w:rsidRDefault="00B41C8C" w:rsidP="00C629C8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="Times New Roman" w:eastAsia="Times New Roman" w:hAnsi="Times New Roman" w:cs="Times New Roman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B41C8C" w:rsidRPr="00974B5F" w14:paraId="3146667A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865" w14:textId="5F3FB0FF" w:rsidR="00B41C8C" w:rsidRPr="00974B5F" w:rsidRDefault="00CD1045" w:rsidP="00C629C8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outlineLvl w:val="1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22"/>
                <w:lang w:eastAsia="hu-HU"/>
              </w:rPr>
              <w:t>2021/2022</w:t>
            </w:r>
            <w:bookmarkStart w:id="0" w:name="_GoBack"/>
            <w:bookmarkEnd w:id="0"/>
            <w:r w:rsidR="00B41C8C" w:rsidRPr="00974B5F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22"/>
                <w:lang w:eastAsia="hu-HU"/>
              </w:rPr>
              <w:t>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2AA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82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A1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279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CE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612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E55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221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538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60C7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9B6B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FB1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EB4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22B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56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75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3B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627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41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4D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B41C8C" w:rsidRPr="00974B5F" w14:paraId="2ED3FA8D" w14:textId="77777777" w:rsidTr="00C629C8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5E4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89848" w14:textId="14AF875E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F71E" w14:textId="2CE8D96C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287E" w14:textId="7BE9C784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4783" w14:textId="52981780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28FC" w14:textId="2FCA6FC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5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20E74" w14:textId="042EFCD0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6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8036" w14:textId="19A57109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6C10" w14:textId="7AEE25F5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E707D" w14:textId="1D3310FB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E3A9D" w14:textId="4B1F331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10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CB4C4A" w14:textId="77777777" w:rsidR="00B41C8C" w:rsidRPr="00974B5F" w:rsidRDefault="00B41C8C" w:rsidP="00C62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6FA7" w14:textId="06F7E542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12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190F" w14:textId="6F22B7AA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218D" w14:textId="21ECF8C9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F48A" w14:textId="1B10EC99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15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8993590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8A8B09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4A8ADA6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BE8B96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A1E133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B41C8C" w:rsidRPr="00974B5F" w14:paraId="242BFDB0" w14:textId="77777777" w:rsidTr="00C629C8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756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15F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6A2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E21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2FC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CD8F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DA4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3087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187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79C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268C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6AC85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FCA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DC2A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342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68673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4C335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59AD2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40556FC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28AD729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110FFA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B41C8C" w:rsidRPr="00974B5F" w14:paraId="0F338E1E" w14:textId="77777777" w:rsidTr="00C629C8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AE0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073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D2F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70C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657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AEC1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AC6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5F64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322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8C0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6F46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EA6B2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AF2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7D80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8DE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170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C5D8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1CC78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6F205F4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7F559E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A86C4A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B41C8C" w:rsidRPr="00974B5F" w14:paraId="355575CD" w14:textId="77777777" w:rsidTr="00C629C8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F0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F57D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AB3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C2C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67674" w14:textId="09125029" w:rsidR="00B41C8C" w:rsidRPr="00974B5F" w:rsidRDefault="00F21FCE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2D6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9025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63A0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FA0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664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E70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0053C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9BC70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0C3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8E6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830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5DF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B58C6A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7CB032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442E3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AD6E9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78475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B41C8C" w:rsidRPr="00974B5F" w14:paraId="1B4106E0" w14:textId="77777777" w:rsidTr="00C629C8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ED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F90B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DA8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94C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974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3C9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00E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0AF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5B0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14D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A5D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4E68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6BA6D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BBCD4" w14:textId="13AD4A81" w:rsidR="00B41C8C" w:rsidRPr="00974B5F" w:rsidRDefault="00F21FCE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D22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0FE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21E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76186F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38388B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20F6A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A234A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0CB1DB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B41C8C" w:rsidRPr="00974B5F" w14:paraId="1C145553" w14:textId="77777777" w:rsidTr="00C629C8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74B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3A2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9034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9EE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D0E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0090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7B90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28B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DEE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EEA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84A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A3B4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B21F8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C2C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323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A94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9FD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0F1A4F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151B29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63CA95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603A273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FEEE9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B41C8C" w:rsidRPr="00974B5F" w14:paraId="58C50D0F" w14:textId="77777777" w:rsidTr="00C629C8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A20A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5CB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BF6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469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814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F8E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B96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E92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3D0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464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CF6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23C84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6C7385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294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FB9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445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D87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3F9D1D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1F3A87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9330D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B41C8C" w:rsidRPr="00974B5F" w14:paraId="710CB09F" w14:textId="77777777" w:rsidTr="00C629C8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35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70BF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157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89E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8A6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63F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076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58E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94B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112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77D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F199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04F06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74FE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F21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07E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A3D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073C82C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4D321F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BD73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B41C8C" w:rsidRPr="00974B5F" w14:paraId="4CC46B0B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AD3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FC4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2E0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389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599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995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F55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216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6BB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62FD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7420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4ACD04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DD1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255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D1E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BEA0C7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EC56B7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C79A7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EE92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B41C8C" w:rsidRPr="00974B5F" w14:paraId="109A90BE" w14:textId="77777777" w:rsidTr="00C629C8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CF7" w14:textId="77777777" w:rsidR="00B41C8C" w:rsidRPr="00974B5F" w:rsidRDefault="00B41C8C" w:rsidP="00C629C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</w:pPr>
            <w:r w:rsidRPr="00974B5F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43A2CA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6CFA9A2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7AB70B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70FCD2F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43F607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E64674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DB1BE3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C98824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A789B2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FE50B5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0F129A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ED6C64E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0825661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338C25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3849485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710A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3206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DC29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D9C8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A53B" w14:textId="77777777" w:rsidR="00B41C8C" w:rsidRPr="00974B5F" w:rsidRDefault="00B41C8C" w:rsidP="00C629C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hu-HU"/>
              </w:rPr>
            </w:pPr>
          </w:p>
        </w:tc>
      </w:tr>
    </w:tbl>
    <w:p w14:paraId="1B01C7D4" w14:textId="6EC50A2F" w:rsidR="00654D13" w:rsidRPr="00974B5F" w:rsidRDefault="00654D13" w:rsidP="001C017B">
      <w:pPr>
        <w:rPr>
          <w:rFonts w:ascii="Times New Roman" w:hAnsi="Times New Roman" w:cs="Times New Roman"/>
        </w:rPr>
      </w:pPr>
    </w:p>
    <w:sectPr w:rsidR="00654D13" w:rsidRPr="00974B5F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F9E9" w14:textId="77777777" w:rsidR="002101ED" w:rsidRDefault="002101ED" w:rsidP="00AD4BC7">
      <w:r>
        <w:separator/>
      </w:r>
    </w:p>
  </w:endnote>
  <w:endnote w:type="continuationSeparator" w:id="0">
    <w:p w14:paraId="331617C5" w14:textId="77777777" w:rsidR="002101ED" w:rsidRDefault="002101ED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69323"/>
      <w:docPartObj>
        <w:docPartGallery w:val="Page Numbers (Bottom of Page)"/>
        <w:docPartUnique/>
      </w:docPartObj>
    </w:sdtPr>
    <w:sdtEndPr/>
    <w:sdtContent>
      <w:p w14:paraId="1B01C7D9" w14:textId="28437CEC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1ED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E4E0" w14:textId="77777777" w:rsidR="002101ED" w:rsidRDefault="002101ED" w:rsidP="00AD4BC7">
      <w:r>
        <w:separator/>
      </w:r>
    </w:p>
  </w:footnote>
  <w:footnote w:type="continuationSeparator" w:id="0">
    <w:p w14:paraId="579A1D3F" w14:textId="77777777" w:rsidR="002101ED" w:rsidRDefault="002101ED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08D"/>
    <w:rsid w:val="000111FE"/>
    <w:rsid w:val="00022F7F"/>
    <w:rsid w:val="000272A6"/>
    <w:rsid w:val="000308CD"/>
    <w:rsid w:val="000408D2"/>
    <w:rsid w:val="00064593"/>
    <w:rsid w:val="00085F17"/>
    <w:rsid w:val="000A2AEB"/>
    <w:rsid w:val="000A37C1"/>
    <w:rsid w:val="000A7F93"/>
    <w:rsid w:val="000B72FB"/>
    <w:rsid w:val="000F0177"/>
    <w:rsid w:val="000F6A91"/>
    <w:rsid w:val="00117AF0"/>
    <w:rsid w:val="00120708"/>
    <w:rsid w:val="00123E52"/>
    <w:rsid w:val="00127634"/>
    <w:rsid w:val="001800ED"/>
    <w:rsid w:val="00183256"/>
    <w:rsid w:val="00196410"/>
    <w:rsid w:val="001B050E"/>
    <w:rsid w:val="001B1F82"/>
    <w:rsid w:val="001B57F9"/>
    <w:rsid w:val="001C017B"/>
    <w:rsid w:val="001C1DBF"/>
    <w:rsid w:val="001F001E"/>
    <w:rsid w:val="002101ED"/>
    <w:rsid w:val="002247B0"/>
    <w:rsid w:val="002616BB"/>
    <w:rsid w:val="00261943"/>
    <w:rsid w:val="00297C46"/>
    <w:rsid w:val="002A5D34"/>
    <w:rsid w:val="002C33DD"/>
    <w:rsid w:val="002F03A1"/>
    <w:rsid w:val="002F61F2"/>
    <w:rsid w:val="0030375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40244E"/>
    <w:rsid w:val="0040663C"/>
    <w:rsid w:val="0044290E"/>
    <w:rsid w:val="00445928"/>
    <w:rsid w:val="00461280"/>
    <w:rsid w:val="00463539"/>
    <w:rsid w:val="00465CF7"/>
    <w:rsid w:val="00494826"/>
    <w:rsid w:val="004C2A6B"/>
    <w:rsid w:val="004D53F1"/>
    <w:rsid w:val="00515A1A"/>
    <w:rsid w:val="005259E6"/>
    <w:rsid w:val="00545A4E"/>
    <w:rsid w:val="005A528F"/>
    <w:rsid w:val="005C4744"/>
    <w:rsid w:val="005D147A"/>
    <w:rsid w:val="005E1F86"/>
    <w:rsid w:val="005F7E4B"/>
    <w:rsid w:val="006129C1"/>
    <w:rsid w:val="00654D13"/>
    <w:rsid w:val="00657DCF"/>
    <w:rsid w:val="006643D3"/>
    <w:rsid w:val="00670FBF"/>
    <w:rsid w:val="006972DA"/>
    <w:rsid w:val="006C0FFA"/>
    <w:rsid w:val="006C78B2"/>
    <w:rsid w:val="006D6D10"/>
    <w:rsid w:val="00704915"/>
    <w:rsid w:val="00706C74"/>
    <w:rsid w:val="00721F29"/>
    <w:rsid w:val="007228ED"/>
    <w:rsid w:val="00722C34"/>
    <w:rsid w:val="007472CC"/>
    <w:rsid w:val="007910A3"/>
    <w:rsid w:val="0079519A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502D"/>
    <w:rsid w:val="0089661B"/>
    <w:rsid w:val="008C22B3"/>
    <w:rsid w:val="008D3B59"/>
    <w:rsid w:val="008D46C7"/>
    <w:rsid w:val="008E6B16"/>
    <w:rsid w:val="008E739F"/>
    <w:rsid w:val="00901346"/>
    <w:rsid w:val="009132BE"/>
    <w:rsid w:val="00914794"/>
    <w:rsid w:val="009264BA"/>
    <w:rsid w:val="00956261"/>
    <w:rsid w:val="00974B5F"/>
    <w:rsid w:val="0097665F"/>
    <w:rsid w:val="00987F4D"/>
    <w:rsid w:val="009A1CC4"/>
    <w:rsid w:val="009A7F73"/>
    <w:rsid w:val="009B4F16"/>
    <w:rsid w:val="009D0731"/>
    <w:rsid w:val="009F129C"/>
    <w:rsid w:val="00A11999"/>
    <w:rsid w:val="00A4562E"/>
    <w:rsid w:val="00A564EB"/>
    <w:rsid w:val="00A72E36"/>
    <w:rsid w:val="00A82BEF"/>
    <w:rsid w:val="00A84B7E"/>
    <w:rsid w:val="00AD4BC7"/>
    <w:rsid w:val="00B2412D"/>
    <w:rsid w:val="00B40C80"/>
    <w:rsid w:val="00B41C8C"/>
    <w:rsid w:val="00B621CA"/>
    <w:rsid w:val="00B718D5"/>
    <w:rsid w:val="00B74954"/>
    <w:rsid w:val="00B8445E"/>
    <w:rsid w:val="00BC575B"/>
    <w:rsid w:val="00BE16CA"/>
    <w:rsid w:val="00BE208D"/>
    <w:rsid w:val="00BF0F08"/>
    <w:rsid w:val="00BF6579"/>
    <w:rsid w:val="00C128DE"/>
    <w:rsid w:val="00C6726F"/>
    <w:rsid w:val="00C76A5B"/>
    <w:rsid w:val="00C912C1"/>
    <w:rsid w:val="00CD1045"/>
    <w:rsid w:val="00CE0526"/>
    <w:rsid w:val="00D0714B"/>
    <w:rsid w:val="00D14FA8"/>
    <w:rsid w:val="00D4279A"/>
    <w:rsid w:val="00D50DF2"/>
    <w:rsid w:val="00D66345"/>
    <w:rsid w:val="00D841A0"/>
    <w:rsid w:val="00DA367B"/>
    <w:rsid w:val="00DA4DD7"/>
    <w:rsid w:val="00DD1C55"/>
    <w:rsid w:val="00E11CCC"/>
    <w:rsid w:val="00E21CB6"/>
    <w:rsid w:val="00E34CFC"/>
    <w:rsid w:val="00E50B9F"/>
    <w:rsid w:val="00E548EC"/>
    <w:rsid w:val="00E61D61"/>
    <w:rsid w:val="00E66CB3"/>
    <w:rsid w:val="00E81E72"/>
    <w:rsid w:val="00ED693F"/>
    <w:rsid w:val="00EE7E15"/>
    <w:rsid w:val="00EF07DB"/>
    <w:rsid w:val="00EF114B"/>
    <w:rsid w:val="00EF2F4F"/>
    <w:rsid w:val="00EF73E7"/>
    <w:rsid w:val="00F21FCE"/>
    <w:rsid w:val="00F27243"/>
    <w:rsid w:val="00F402B9"/>
    <w:rsid w:val="00F52598"/>
    <w:rsid w:val="00F64C15"/>
    <w:rsid w:val="00F84565"/>
    <w:rsid w:val="00F96ADA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171D43BD-B515-4646-8FC6-F09ABD7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657DCF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  <w:style w:type="paragraph" w:customStyle="1" w:styleId="CharChar1CharCharCharCharChar10">
    <w:name w:val="Char Char1 Char Char Char Char Char1"/>
    <w:basedOn w:val="Norml"/>
    <w:rsid w:val="00463539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447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Tantárgyi tematika és teljesítési követelmények </vt:lpstr>
      <vt:lpstr>    Tantárgy célkitűzése</vt:lpstr>
      <vt:lpstr>    Tartalma  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Eördöghné Dr. Miklós Mária</cp:lastModifiedBy>
  <cp:revision>4</cp:revision>
  <cp:lastPrinted>2019-02-06T22:25:00Z</cp:lastPrinted>
  <dcterms:created xsi:type="dcterms:W3CDTF">2022-02-10T18:21:00Z</dcterms:created>
  <dcterms:modified xsi:type="dcterms:W3CDTF">2022-02-10T19:25:00Z</dcterms:modified>
</cp:coreProperties>
</file>