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1.sz. Melléklet</w:t>
      </w:r>
    </w:p>
    <w:p w:rsidR="00000000" w:rsidDel="00000000" w:rsidP="00000000" w:rsidRDefault="00000000" w:rsidRPr="00000000" w14:paraId="00000002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Ajánlott minta: „Tantárgyleírás, tantárgyi tematika és teljesítési követelmények”</w:t>
      </w:r>
    </w:p>
    <w:p w:rsidR="00000000" w:rsidDel="00000000" w:rsidP="00000000" w:rsidRDefault="00000000" w:rsidRPr="00000000" w14:paraId="00000003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Tantárgyi tematika és teljesítési követelmények </w:t>
        <w:br w:type="textWrapping"/>
        <w:t xml:space="preserve">2022/2023 ŐSZI félév</w:t>
      </w:r>
    </w:p>
    <w:tbl>
      <w:tblPr>
        <w:tblStyle w:val="Table1"/>
        <w:tblW w:w="1017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1E0"/>
      </w:tblPr>
      <w:tblGrid>
        <w:gridCol w:w="3632"/>
        <w:gridCol w:w="6542"/>
        <w:tblGridChange w:id="0">
          <w:tblGrid>
            <w:gridCol w:w="3632"/>
            <w:gridCol w:w="65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Cím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Villamosipari anyagismeret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Tárgykód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IVB039ML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Heti óraszám: ea/gy/lab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10 előadás, 5 labor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Kreditpont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Szak(ok)/ típus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alapszak (BSc)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Tagozat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Levelező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Követelmény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vizsga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Meghirdetés féléve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Ősz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Előzetes követelmény(ek)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 tanszék(ek)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i w:val="0"/>
                <w:rtl w:val="0"/>
              </w:rPr>
              <w:t xml:space="preserve">Automatizálás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Tárgyfelelős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Nyitray Gergely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Oktatók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Nyitray Gergely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1"/>
        <w:shd w:fill="c7c7c7" w:val="clea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Tárgyleírás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rövid leírása (max. 10 rövid mondat). (Neptunban: Oktatás/Tárgyak/Tárgy adatok/Alapadatok/Tárgyleírás rovat)</w:t>
      </w:r>
    </w:p>
    <w:p w:rsidR="00000000" w:rsidDel="00000000" w:rsidP="00000000" w:rsidRDefault="00000000" w:rsidRPr="00000000" w14:paraId="00000020">
      <w:pPr>
        <w:shd w:fill="dfdfdf" w:val="clear"/>
        <w:rPr/>
      </w:pPr>
      <w:r w:rsidDel="00000000" w:rsidR="00000000" w:rsidRPr="00000000">
        <w:rPr>
          <w:color w:val="000000"/>
          <w:rtl w:val="0"/>
        </w:rPr>
        <w:t xml:space="preserve">Anyagok felosztása, anyagszerkezeti ismeretek fejlődése. Atommodellek, periódusos rendszer. A periódusos rendszerbeli elemek (és vegyületeik) ismertetése, legfontosabb felhasználásuk a technológiában és az iparban. Folyadékok, polimerek és kompozit anyagok tulajdonságainak, felhasználásaiknak bemutatása.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c7c7c7" w:val="clear"/>
        <w:rPr/>
      </w:pPr>
      <w:r w:rsidDel="00000000" w:rsidR="00000000" w:rsidRPr="00000000">
        <w:rPr>
          <w:rtl w:val="0"/>
        </w:rPr>
        <w:t xml:space="preserve">Tárgytematika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 ablak)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Az oktatás célja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Célkitűzések és a tantárgy teljesítésével elérhető tanulási eredmények megfogalmazása. </w:t>
      </w:r>
    </w:p>
    <w:p w:rsidR="00000000" w:rsidDel="00000000" w:rsidP="00000000" w:rsidRDefault="00000000" w:rsidRPr="00000000" w14:paraId="00000026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adatok/Tárgytematika/Oktatás célja rovat)</w:t>
      </w:r>
    </w:p>
    <w:p w:rsidR="00000000" w:rsidDel="00000000" w:rsidP="00000000" w:rsidRDefault="00000000" w:rsidRPr="00000000" w14:paraId="00000027">
      <w:pPr>
        <w:shd w:fill="dfdfdf" w:val="clear"/>
        <w:jc w:val="left"/>
        <w:rPr/>
      </w:pPr>
      <w:r w:rsidDel="00000000" w:rsidR="00000000" w:rsidRPr="00000000">
        <w:rPr>
          <w:rtl w:val="0"/>
        </w:rPr>
        <w:t xml:space="preserve">A villamosiparban használatos anyagokkal kapcsolatos alapvető ismeretek megszerzése.</w:t>
      </w:r>
    </w:p>
    <w:p w:rsidR="00000000" w:rsidDel="00000000" w:rsidP="00000000" w:rsidRDefault="00000000" w:rsidRPr="00000000" w14:paraId="00000028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dfdfdf" w:val="clear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 tantárgy tartalma</w:t>
      </w:r>
    </w:p>
    <w:p w:rsidR="00000000" w:rsidDel="00000000" w:rsidP="00000000" w:rsidRDefault="00000000" w:rsidRPr="00000000" w14:paraId="0000002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adatok/Tárgytematika/Tantárgy tartalma rovat)</w:t>
      </w:r>
    </w:p>
    <w:p w:rsidR="00000000" w:rsidDel="00000000" w:rsidP="00000000" w:rsidRDefault="00000000" w:rsidRPr="00000000" w14:paraId="0000002D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142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1843"/>
        <w:gridCol w:w="8505"/>
        <w:tblGridChange w:id="0">
          <w:tblGrid>
            <w:gridCol w:w="1843"/>
            <w:gridCol w:w="8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Témakörök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Előadás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Az anyagtudomány tárgya felosztása. Anyagok osztályozása. Az anyagszerkezeti ismeretek fejlődése, a periódusos rendszer felépítése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periódusos rendszer elemei és legfontosabb felhasználásuk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kristály fogalma, kristályok osztályozása, kristályhibák, egykristály növesztés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Anyagvizsgálati módszerek (szakítóvizsgálat, keménységmérés, repedésvizsgálat) Szerkezeti anyagok, alumínium, nyersvas és acélgyártás. Folyadékok osztályozása, az egyszerű folyadékok Bernall-modellje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  <w:t xml:space="preserve">A víz szerkezete. </w:t>
            </w:r>
            <w:r w:rsidDel="00000000" w:rsidR="00000000" w:rsidRPr="00000000">
              <w:rPr>
                <w:i w:val="1"/>
                <w:color w:val="96969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Műanyagok, polimerek osztályozása, legfontosabb tulajdonságaik. Kompozit anyagok fogalma, tulajdonságaik, legfontosabb felhasználásuk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stb.</w:t>
            </w:r>
          </w:p>
          <w:p w:rsidR="00000000" w:rsidDel="00000000" w:rsidP="00000000" w:rsidRDefault="00000000" w:rsidRPr="00000000" w14:paraId="00000041">
            <w:pPr>
              <w:rPr>
                <w:i w:val="1"/>
                <w:color w:val="96969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Labor-</w:t>
            </w:r>
          </w:p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gyakorlat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Azonos az előadáséval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Azonos az előadáséval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Azonos az előadáséval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Azonos az előadáséval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i w:val="1"/>
                <w:color w:val="969696"/>
              </w:rPr>
            </w:pPr>
            <w:r w:rsidDel="00000000" w:rsidR="00000000" w:rsidRPr="00000000">
              <w:rPr>
                <w:i w:val="1"/>
                <w:color w:val="969696"/>
                <w:rtl w:val="0"/>
              </w:rPr>
              <w:t xml:space="preserve">témakör </w:t>
            </w:r>
            <w:r w:rsidDel="00000000" w:rsidR="00000000" w:rsidRPr="00000000">
              <w:rPr>
                <w:rtl w:val="0"/>
              </w:rPr>
              <w:t xml:space="preserve">Azonos az előadáséval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Részletes tantárgyi program és a követelmények ütemezése</w:t>
      </w:r>
    </w:p>
    <w:p w:rsidR="00000000" w:rsidDel="00000000" w:rsidP="00000000" w:rsidRDefault="00000000" w:rsidRPr="00000000" w14:paraId="0000004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Jelezzük az oktatási szüneteket is!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11"/>
        <w:gridCol w:w="3827"/>
        <w:gridCol w:w="1985"/>
        <w:gridCol w:w="1842"/>
        <w:gridCol w:w="1985"/>
        <w:tblGridChange w:id="0">
          <w:tblGrid>
            <w:gridCol w:w="711"/>
            <w:gridCol w:w="3827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ELŐADÁS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1"/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 hivatkozás, oldalszám (-tól-ig)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Az anyagtudomány tárgya fejlődése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9-18 [1]; 29-567 [2]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 periódusos rendszer elemei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5-228 [3] 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Kristályok 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3-100 [4]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Anyagvizsgálati módszerek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81-231 [5]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beadandó feladat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vizsgaidőszak második hetéig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Műanyagok, polimerek, kompozitok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1308-1312 [6]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704"/>
        <w:gridCol w:w="3832"/>
        <w:gridCol w:w="1985"/>
        <w:gridCol w:w="1842"/>
        <w:gridCol w:w="1985"/>
        <w:tblGridChange w:id="0">
          <w:tblGrid>
            <w:gridCol w:w="704"/>
            <w:gridCol w:w="3832"/>
            <w:gridCol w:w="1985"/>
            <w:gridCol w:w="1842"/>
            <w:gridCol w:w="1985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4">
            <w:pPr>
              <w:keepNext w:val="1"/>
              <w:jc w:val="left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GYAKORLAT/LABORGYAKORLAT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Okta-tási hét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Téma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Kötelező irodalom, </w:t>
              <w:br w:type="textWrapping"/>
              <w:t xml:space="preserve">oldalszám (-tól-ig)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Teljesítendő feladat</w:t>
              <w:br w:type="textWrapping"/>
              <w:t xml:space="preserve">(beadandó, zárthelyi, stb.)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Teljesítés ideje, határideje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felszerelt labor nincs (konzultációs óra)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felszerelt labor nincs (konzultációs óra)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felszerelt labor nincs (konzultációs óra)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felszerelt labor nincs (konzultációs óra)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felszerelt labor nincs (konzultációs óra)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Számonkérési és értékelési rendszer</w:t>
      </w:r>
    </w:p>
    <w:p w:rsidR="00000000" w:rsidDel="00000000" w:rsidP="00000000" w:rsidRDefault="00000000" w:rsidRPr="00000000" w14:paraId="000000FC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(Neptunban: Oktatás/Tárgyak/Tárgy adatok/Tárgytematika/Számonkérési és értékelési rendszere rovat)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Jelenléti és részvételi követelmények </w:t>
      </w:r>
    </w:p>
    <w:p w:rsidR="00000000" w:rsidDel="00000000" w:rsidP="00000000" w:rsidRDefault="00000000" w:rsidRPr="00000000" w14:paraId="000000FF">
      <w:pPr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 </w:t>
      </w:r>
      <w:r w:rsidDel="00000000" w:rsidR="00000000" w:rsidRPr="00000000">
        <w:rPr>
          <w:i w:val="1"/>
          <w:sz w:val="16"/>
          <w:szCs w:val="16"/>
          <w:rtl w:val="0"/>
        </w:rPr>
        <w:t xml:space="preserve">PTE TVSz </w:t>
      </w:r>
      <w:r w:rsidDel="00000000" w:rsidR="00000000" w:rsidRPr="00000000">
        <w:rPr>
          <w:sz w:val="16"/>
          <w:szCs w:val="16"/>
          <w:rtl w:val="0"/>
        </w:rPr>
        <w:t xml:space="preserve">45.§ (2) és</w:t>
      </w:r>
      <w:r w:rsidDel="00000000" w:rsidR="00000000" w:rsidRPr="00000000">
        <w:rPr>
          <w:i w:val="1"/>
          <w:sz w:val="16"/>
          <w:szCs w:val="16"/>
          <w:rtl w:val="0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 jelenlét ellenőrzésének módja </w:t>
      </w:r>
      <w:r w:rsidDel="00000000" w:rsidR="00000000" w:rsidRPr="00000000">
        <w:rPr>
          <w:i w:val="1"/>
          <w:sz w:val="16"/>
          <w:szCs w:val="16"/>
          <w:rtl w:val="0"/>
        </w:rPr>
        <w:t xml:space="preserve">(pl.: jelenléti ív / online teszt/ jegyzőkönyv, stb.)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hd w:fill="dfdfdf" w:val="clear"/>
        <w:rPr/>
      </w:pPr>
      <w:r w:rsidDel="00000000" w:rsidR="00000000" w:rsidRPr="00000000">
        <w:rPr>
          <w:rtl w:val="0"/>
        </w:rPr>
        <w:t xml:space="preserve">Jelenléti ív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5"/>
        <w:keepNext w:val="1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Számonkérések </w:t>
      </w:r>
    </w:p>
    <w:p w:rsidR="00000000" w:rsidDel="00000000" w:rsidP="00000000" w:rsidRDefault="00000000" w:rsidRPr="00000000" w14:paraId="00000105">
      <w:pPr>
        <w:keepNext w:val="1"/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tantárgy követelménytípusának megfelelő rovatok töltendők ki (félévközi jeggyel, vagy vizsgával záruló tantárgyak). A másik típus rovatai törölhetők. </w:t>
      </w:r>
    </w:p>
    <w:p w:rsidR="00000000" w:rsidDel="00000000" w:rsidP="00000000" w:rsidRDefault="00000000" w:rsidRPr="00000000" w14:paraId="00000106">
      <w:pPr>
        <w:keepNext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Félévközi jeggyel záruló tantárgy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(PTE TVSz 40§(3))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minősítésben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846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69"/>
        <w:gridCol w:w="1506"/>
        <w:gridCol w:w="2125"/>
        <w:tblGridChange w:id="0">
          <w:tblGrid>
            <w:gridCol w:w="4869"/>
            <w:gridCol w:w="1506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Részarány a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0D">
            <w:pPr>
              <w:ind w:left="4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0F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0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2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3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4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5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16">
            <w:pPr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1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ind w:left="1559" w:hanging="851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851" w:hanging="851"/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módja, típusa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47§(4))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:rsidR="00000000" w:rsidDel="00000000" w:rsidP="00000000" w:rsidRDefault="00000000" w:rsidRPr="00000000" w14:paraId="0000011C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dfdfd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kialakításának módja %-os bontásban </w:t>
      </w:r>
    </w:p>
    <w:p w:rsidR="00000000" w:rsidDel="00000000" w:rsidP="00000000" w:rsidRDefault="00000000" w:rsidRPr="00000000" w14:paraId="00000120">
      <w:pPr>
        <w:ind w:left="1559" w:hanging="851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Az összesített teljesítmény alapján az alábbi szerint.</w:t>
      </w:r>
    </w:p>
    <w:p w:rsidR="00000000" w:rsidDel="00000000" w:rsidP="00000000" w:rsidRDefault="00000000" w:rsidRPr="00000000" w14:paraId="00000121">
      <w:pPr>
        <w:pStyle w:val="Heading6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7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9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2E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2F">
      <w:pPr>
        <w:pBdr>
          <w:top w:color="4d4d4d" w:space="1" w:sz="8" w:val="single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140" w:lineRule="auto"/>
        <w:ind w:left="1440" w:right="1440" w:hanging="144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 xml:space="preserve">Vizsgával záruló tantárgy </w:t>
      </w:r>
    </w:p>
    <w:p w:rsidR="00000000" w:rsidDel="00000000" w:rsidP="00000000" w:rsidRDefault="00000000" w:rsidRPr="00000000" w14:paraId="00000130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Félévközi ellenőrzések, teljesítményértékelések és részarányuk a vizsgára bocsájtás feltételének minősítésben </w:t>
      </w:r>
    </w:p>
    <w:p w:rsidR="00000000" w:rsidDel="00000000" w:rsidP="00000000" w:rsidRDefault="00000000" w:rsidRPr="00000000" w14:paraId="00000132">
      <w:pPr>
        <w:ind w:left="1559" w:hanging="851"/>
        <w:rPr>
          <w:b w:val="1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(A táblázat példái törlendők.)</w:t>
      </w:r>
      <w:r w:rsidDel="00000000" w:rsidR="00000000" w:rsidRPr="00000000">
        <w:rPr>
          <w:rtl w:val="0"/>
        </w:rPr>
      </w:r>
    </w:p>
    <w:tbl>
      <w:tblPr>
        <w:tblStyle w:val="Table7"/>
        <w:tblW w:w="8500.0" w:type="dxa"/>
        <w:jc w:val="left"/>
        <w:tblInd w:w="704.0000000000001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869"/>
        <w:gridCol w:w="1648"/>
        <w:gridCol w:w="1983"/>
        <w:tblGridChange w:id="0">
          <w:tblGrid>
            <w:gridCol w:w="4869"/>
            <w:gridCol w:w="1648"/>
            <w:gridCol w:w="198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Típus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left="851" w:hanging="85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Értékelés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Részarány a vizsgára bocsájtás feltételének minősítésben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270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Beadandó feladat</w:t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7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8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i w:val="1"/>
                <w:color w:val="808080"/>
                <w:rtl w:val="0"/>
              </w:rPr>
              <w:t xml:space="preserve">100%</w:t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A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B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hanging="315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D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3E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15" w:firstLine="0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0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141">
            <w:pPr>
              <w:ind w:left="851" w:hanging="851"/>
              <w:rPr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ind w:left="426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aláírás megszerzésének feltétele </w:t>
      </w:r>
    </w:p>
    <w:p w:rsidR="00000000" w:rsidDel="00000000" w:rsidP="00000000" w:rsidRDefault="00000000" w:rsidRPr="00000000" w14:paraId="00000144">
      <w:pPr>
        <w:ind w:left="851" w:hanging="142.00000000000003"/>
        <w:rPr>
          <w:i w:val="1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(Pl.:  40%-os évközi minősítés.)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dfdfdf" w:val="clear"/>
        <w:rPr/>
      </w:pPr>
      <w:r w:rsidDel="00000000" w:rsidR="00000000" w:rsidRPr="00000000">
        <w:rPr>
          <w:rtl w:val="0"/>
        </w:rPr>
        <w:t xml:space="preserve">Részvétel legalább három konzultáción.</w:t>
      </w:r>
    </w:p>
    <w:p w:rsidR="00000000" w:rsidDel="00000000" w:rsidP="00000000" w:rsidRDefault="00000000" w:rsidRPr="00000000" w14:paraId="00000146">
      <w:pPr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b w:val="1"/>
          <w:i w:val="1"/>
          <w:rtl w:val="0"/>
        </w:rPr>
        <w:t xml:space="preserve">Pótlási lehetőségek az aláírás megszerzéséhez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(PTE TVSz 50§(2))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A javításra, ismétlésre és pótlásra vonatkozó különös szabályokat a TVSZ általános szabályaival együttesen kell értelmezni és alkalmazni: </w:t>
      </w:r>
    </w:p>
    <w:p w:rsidR="00000000" w:rsidDel="00000000" w:rsidP="00000000" w:rsidRDefault="00000000" w:rsidRPr="00000000" w14:paraId="00000149">
      <w:pPr>
        <w:ind w:left="709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érdekében. </w:t>
      </w:r>
    </w:p>
    <w:p w:rsidR="00000000" w:rsidDel="00000000" w:rsidP="00000000" w:rsidRDefault="00000000" w:rsidRPr="00000000" w14:paraId="0000014A">
      <w:pPr>
        <w:shd w:fill="dfdfdf" w:val="clear"/>
        <w:rPr/>
      </w:pPr>
      <w:r w:rsidDel="00000000" w:rsidR="00000000" w:rsidRPr="00000000">
        <w:rPr>
          <w:rtl w:val="0"/>
        </w:rPr>
        <w:t xml:space="preserve">Mivel az aláírás kizárólag csak a jelenléthez kötött pótlására nincs lehetőség.</w:t>
      </w:r>
    </w:p>
    <w:p w:rsidR="00000000" w:rsidDel="00000000" w:rsidP="00000000" w:rsidRDefault="00000000" w:rsidRPr="00000000" w14:paraId="0000014B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Vizsga típusa</w:t>
      </w:r>
      <w:r w:rsidDel="00000000" w:rsidR="00000000" w:rsidRPr="00000000">
        <w:rPr>
          <w:i w:val="1"/>
          <w:rtl w:val="0"/>
        </w:rPr>
        <w:t xml:space="preserve"> (</w:t>
      </w:r>
      <w:r w:rsidDel="00000000" w:rsidR="00000000" w:rsidRPr="00000000">
        <w:rPr>
          <w:i w:val="1"/>
          <w:u w:val="single"/>
          <w:rtl w:val="0"/>
        </w:rPr>
        <w:t xml:space="preserve">írásbeli</w:t>
      </w:r>
      <w:r w:rsidDel="00000000" w:rsidR="00000000" w:rsidRPr="00000000">
        <w:rPr>
          <w:i w:val="1"/>
          <w:rtl w:val="0"/>
        </w:rPr>
        <w:t xml:space="preserve">, szóbeli): (beadandó feladat)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i w:val="1"/>
          <w:rtl w:val="0"/>
        </w:rPr>
        <w:t xml:space="preserve">A vizsga minimum 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 </w:t>
      </w:r>
      <w:r w:rsidDel="00000000" w:rsidR="00000000" w:rsidRPr="00000000">
        <w:rPr>
          <w:b w:val="1"/>
          <w:i w:val="1"/>
          <w:rtl w:val="0"/>
        </w:rPr>
        <w:t xml:space="preserve">%-os teljesítés esetén sikeres. </w:t>
      </w:r>
      <w:r w:rsidDel="00000000" w:rsidR="00000000" w:rsidRPr="00000000">
        <w:rPr>
          <w:i w:val="1"/>
          <w:sz w:val="16"/>
          <w:szCs w:val="16"/>
          <w:rtl w:val="0"/>
        </w:rPr>
        <w:t xml:space="preserve">(A min. 40 %-nál nem lehet több.)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kialakítása </w:t>
      </w:r>
      <w:r w:rsidDel="00000000" w:rsidR="00000000" w:rsidRPr="00000000">
        <w:rPr>
          <w:i w:val="1"/>
          <w:sz w:val="16"/>
          <w:szCs w:val="16"/>
          <w:rtl w:val="0"/>
        </w:rPr>
        <w:t xml:space="preserve">(TVSz 47§ (3))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ind w:left="708" w:firstLine="0"/>
        <w:rPr/>
      </w:pPr>
      <w:r w:rsidDel="00000000" w:rsidR="00000000" w:rsidRPr="00000000">
        <w:rPr>
          <w:b w:val="1"/>
          <w:i w:val="1"/>
          <w:shd w:fill="dfdfdf" w:val="clear"/>
          <w:rtl w:val="0"/>
        </w:rPr>
        <w:t xml:space="preserve">  100 </w:t>
      </w:r>
      <w:r w:rsidDel="00000000" w:rsidR="00000000" w:rsidRPr="00000000">
        <w:rPr>
          <w:rtl w:val="0"/>
        </w:rPr>
        <w:t xml:space="preserve">%-ban az évközi teljesítmény, </w:t>
      </w:r>
      <w:r w:rsidDel="00000000" w:rsidR="00000000" w:rsidRPr="00000000">
        <w:rPr>
          <w:b w:val="1"/>
          <w:i w:val="1"/>
          <w:shd w:fill="dfdfdf" w:val="clear"/>
          <w:rtl w:val="0"/>
        </w:rPr>
        <w:t xml:space="preserve">  0  </w:t>
      </w:r>
      <w:r w:rsidDel="00000000" w:rsidR="00000000" w:rsidRPr="00000000">
        <w:rPr>
          <w:rtl w:val="0"/>
        </w:rPr>
        <w:t xml:space="preserve"> %-ban a vizsgán nyújtott teljesítmény alapján történik.</w:t>
      </w:r>
    </w:p>
    <w:p w:rsidR="00000000" w:rsidDel="00000000" w:rsidP="00000000" w:rsidRDefault="00000000" w:rsidRPr="00000000" w14:paraId="00000152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851" w:hanging="851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Az érdemjegy megállapítása az összesített teljesítmény alapján %-os bontásban</w:t>
      </w:r>
    </w:p>
    <w:p w:rsidR="00000000" w:rsidDel="00000000" w:rsidP="00000000" w:rsidRDefault="00000000" w:rsidRPr="00000000" w14:paraId="00000154">
      <w:pPr>
        <w:ind w:left="851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45.0" w:type="dxa"/>
        <w:jc w:val="left"/>
        <w:tblInd w:w="112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96"/>
        <w:gridCol w:w="3549"/>
        <w:tblGridChange w:id="0">
          <w:tblGrid>
            <w:gridCol w:w="1696"/>
            <w:gridCol w:w="354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Érdemjegy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6">
            <w:pPr>
              <w:ind w:left="851" w:hanging="85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Teljesítmény %-ban kifejezve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jeles (5)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8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85 % 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jó (4)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A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70 % ... 85 %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közepes (3)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C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55 % ... 70 %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elégséges (2)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5E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... 55 %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F">
            <w:pPr>
              <w:ind w:left="851" w:hanging="8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elégtelen (1)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60">
            <w:pPr>
              <w:ind w:left="851" w:hanging="851"/>
              <w:rPr/>
            </w:pPr>
            <w:r w:rsidDel="00000000" w:rsidR="00000000" w:rsidRPr="00000000">
              <w:rPr>
                <w:rtl w:val="0"/>
              </w:rPr>
              <w:t xml:space="preserve">40 % alatt</w:t>
            </w:r>
          </w:p>
        </w:tc>
      </w:tr>
    </w:tbl>
    <w:p w:rsidR="00000000" w:rsidDel="00000000" w:rsidP="00000000" w:rsidRDefault="00000000" w:rsidRPr="00000000" w14:paraId="00000161">
      <w:pPr>
        <w:ind w:left="1559" w:hanging="851"/>
        <w:rPr/>
      </w:pPr>
      <w:r w:rsidDel="00000000" w:rsidR="00000000" w:rsidRPr="00000000">
        <w:rPr>
          <w:rtl w:val="0"/>
        </w:rPr>
        <w:t xml:space="preserve">Az egyes érdemjegyeknél megadott alsó határérték már az adott érdemjegyhez tartozik.</w:t>
      </w:r>
    </w:p>
    <w:p w:rsidR="00000000" w:rsidDel="00000000" w:rsidP="00000000" w:rsidRDefault="00000000" w:rsidRPr="00000000" w14:paraId="00000162">
      <w:pPr>
        <w:ind w:left="851" w:firstLine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2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</w:t>
      </w:r>
    </w:p>
    <w:p w:rsidR="00000000" w:rsidDel="00000000" w:rsidP="00000000" w:rsidRDefault="00000000" w:rsidRPr="00000000" w14:paraId="00000166">
      <w:pPr>
        <w:ind w:left="708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Felsorolás fontossági sorrendben. (Neptunban: Oktatás/Tárgyak/Tárgy adatok/Tárgytematika/Irodalom rovat)</w:t>
      </w:r>
    </w:p>
    <w:p w:rsidR="00000000" w:rsidDel="00000000" w:rsidP="00000000" w:rsidRDefault="00000000" w:rsidRPr="00000000" w14:paraId="00000167">
      <w:pPr>
        <w:ind w:left="1559" w:hanging="851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Kötelező irodalom és elérhetősége</w:t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[1.] Tisza Miklós: Az anyagtudomány alapjai Miskolci Egyetemi Kiadó, 2008, ISBN 963 661 452 0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[2.] Theodore Gray: Kémiai elemek ISBN: 978-615-5065-06-4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[3.] Dr. Pais István: A kémia története I, Nemzeti Tankönyvkiadó, 1996, ISBN 963 18 71835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  <w:t xml:space="preserve">[4.] Prohászka János: Anyagtechnológia egyetemi jegyzet, Műegyetemi kiadó, 2005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[5.] Tisza Miklós: Anyagvizsgálat, Miskolci Egyetemi Kiadó, 2008, ISBN 963 661 452 0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[6.] Holics László: Fizika 2. kötet, Műszaki Könyvkiadó, Budapest, 1992 ISBN 963 10 9451 0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Style w:val="Heading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pStyle w:val="Heading5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Ajánlott irodalom és elérhetősége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[1.] Csizmazia Ferencné dr. Anyagismeret, 1999, SZIF-UNIVERSITAS kft</w:t>
      </w:r>
    </w:p>
    <w:p w:rsidR="00000000" w:rsidDel="00000000" w:rsidP="00000000" w:rsidRDefault="00000000" w:rsidRPr="00000000" w14:paraId="00000174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jc w:val="left"/>
    </w:pPr>
    <w:rPr>
      <w:i w:val="1"/>
      <w:smallCaps w:val="1"/>
      <w:sz w:val="22"/>
      <w:szCs w:val="22"/>
    </w:rPr>
  </w:style>
  <w:style w:type="paragraph" w:styleId="Heading5">
    <w:name w:val="heading 5"/>
    <w:basedOn w:val="Normal"/>
    <w:next w:val="Normal"/>
    <w:pPr>
      <w:jc w:val="left"/>
    </w:pPr>
    <w:rPr>
      <w:smallCaps w:val="1"/>
      <w:color w:val="393939"/>
      <w:sz w:val="22"/>
      <w:szCs w:val="22"/>
    </w:rPr>
  </w:style>
  <w:style w:type="paragraph" w:styleId="Heading6">
    <w:name w:val="heading 6"/>
    <w:basedOn w:val="Normal"/>
    <w:next w:val="Normal"/>
    <w:pPr>
      <w:jc w:val="left"/>
    </w:pPr>
    <w:rPr>
      <w:smallCaps w:val="1"/>
      <w:color w:val="4d4d4d"/>
      <w:sz w:val="22"/>
      <w:szCs w:val="22"/>
    </w:rPr>
  </w:style>
  <w:style w:type="paragraph" w:styleId="Title">
    <w:name w:val="Title"/>
    <w:basedOn w:val="Normal"/>
    <w:next w:val="Normal"/>
    <w:pPr>
      <w:pBdr>
        <w:top w:color="4d4d4d" w:space="1" w:sz="8" w:val="single"/>
      </w:pBdr>
      <w:spacing w:after="120" w:lineRule="auto"/>
      <w:jc w:val="right"/>
    </w:pPr>
    <w:rPr>
      <w:smallCaps w:val="1"/>
      <w:color w:val="262626"/>
      <w:sz w:val="52"/>
      <w:szCs w:val="52"/>
    </w:rPr>
  </w:style>
  <w:style w:type="paragraph" w:styleId="Norml" w:default="1">
    <w:name w:val="Normal"/>
    <w:qFormat w:val="1"/>
    <w:rsid w:val="00CE73E0"/>
  </w:style>
  <w:style w:type="paragraph" w:styleId="Cmsor1">
    <w:name w:val="heading 1"/>
    <w:basedOn w:val="Norml"/>
    <w:next w:val="Norml"/>
    <w:link w:val="Cmsor1Char"/>
    <w:uiPriority w:val="9"/>
    <w:qFormat w:val="1"/>
    <w:rsid w:val="00CE73E0"/>
    <w:pPr>
      <w:spacing w:after="40" w:before="300"/>
      <w:jc w:val="left"/>
      <w:outlineLvl w:val="0"/>
    </w:pPr>
    <w:rPr>
      <w:smallCaps w:val="1"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E73E0"/>
    <w:pPr>
      <w:jc w:val="left"/>
      <w:outlineLvl w:val="1"/>
    </w:pPr>
    <w:rPr>
      <w:smallCaps w:val="1"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 w:val="1"/>
    <w:qFormat w:val="1"/>
    <w:rsid w:val="00CE73E0"/>
    <w:pPr>
      <w:jc w:val="left"/>
      <w:outlineLvl w:val="2"/>
    </w:pPr>
    <w:rPr>
      <w:smallCaps w:val="1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CE73E0"/>
    <w:pPr>
      <w:jc w:val="left"/>
      <w:outlineLvl w:val="3"/>
    </w:pPr>
    <w:rPr>
      <w:i w:val="1"/>
      <w:iCs w:val="1"/>
      <w:smallCaps w:val="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 w:val="1"/>
    <w:qFormat w:val="1"/>
    <w:rsid w:val="00CE73E0"/>
    <w:pPr>
      <w:jc w:val="left"/>
      <w:outlineLvl w:val="4"/>
    </w:pPr>
    <w:rPr>
      <w:smallCaps w:val="1"/>
      <w:color w:val="393939" w:themeColor="accent6" w:themeShade="0000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 w:val="1"/>
    <w:qFormat w:val="1"/>
    <w:rsid w:val="00CE73E0"/>
    <w:pPr>
      <w:jc w:val="left"/>
      <w:outlineLvl w:val="5"/>
    </w:pPr>
    <w:rPr>
      <w:smallCaps w:val="1"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CE73E0"/>
    <w:pPr>
      <w:jc w:val="left"/>
      <w:outlineLvl w:val="6"/>
    </w:pPr>
    <w:rPr>
      <w:b w:val="1"/>
      <w:bCs w:val="1"/>
      <w:smallCaps w:val="1"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CE73E0"/>
    <w:pPr>
      <w:jc w:val="left"/>
      <w:outlineLvl w:val="7"/>
    </w:pPr>
    <w:rPr>
      <w:b w:val="1"/>
      <w:bCs w:val="1"/>
      <w:i w:val="1"/>
      <w:iCs w:val="1"/>
      <w:smallCaps w:val="1"/>
      <w:color w:val="393939" w:themeColor="accent6" w:themeShade="0000BF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CE73E0"/>
    <w:pPr>
      <w:jc w:val="left"/>
      <w:outlineLvl w:val="8"/>
    </w:pPr>
    <w:rPr>
      <w:b w:val="1"/>
      <w:bCs w:val="1"/>
      <w:i w:val="1"/>
      <w:iCs w:val="1"/>
      <w:smallCaps w:val="1"/>
      <w:color w:val="262626" w:themeColor="accent6" w:themeShade="00008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link w:val="CmChar"/>
    <w:uiPriority w:val="10"/>
    <w:qFormat w:val="1"/>
    <w:rsid w:val="00CE73E0"/>
    <w:pPr>
      <w:pBdr>
        <w:top w:color="4d4d4d" w:space="1" w:sz="8" w:themeColor="accent6" w:val="single"/>
      </w:pBdr>
      <w:spacing w:after="120"/>
      <w:jc w:val="right"/>
    </w:pPr>
    <w:rPr>
      <w:smallCaps w:val="1"/>
      <w:color w:val="262626" w:themeColor="text1" w:themeTint="0000D9"/>
      <w:sz w:val="52"/>
      <w:szCs w:val="52"/>
    </w:rPr>
  </w:style>
  <w:style w:type="table" w:styleId="Rcsostblzat">
    <w:name w:val="Table Grid"/>
    <w:basedOn w:val="Normltblzat"/>
    <w:uiPriority w:val="59"/>
    <w:rsid w:val="004C2A6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bekezds">
    <w:name w:val="List Paragraph"/>
    <w:basedOn w:val="Norml"/>
    <w:uiPriority w:val="34"/>
    <w:qFormat w:val="1"/>
    <w:rsid w:val="003A57DC"/>
    <w:pPr>
      <w:ind w:left="720"/>
      <w:contextualSpacing w:val="1"/>
    </w:pPr>
  </w:style>
  <w:style w:type="paragraph" w:styleId="Lbjegyzetszveg">
    <w:name w:val="footnote text"/>
    <w:basedOn w:val="Norml"/>
    <w:link w:val="LbjegyzetszvegChar"/>
    <w:semiHidden w:val="1"/>
    <w:rsid w:val="00AD4BC7"/>
    <w:rPr>
      <w:rFonts w:ascii="Times New Roman" w:cs="Times New Roman" w:eastAsia="Times New Roman" w:hAnsi="Times New Roman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AD4BC7"/>
    <w:rPr>
      <w:rFonts w:ascii="Times New Roman" w:cs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 w:val="1"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 w:val="1"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 w:val="1"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 w:val="1"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 w:val="1"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 w:val="1"/>
      <w:iCs w:val="1"/>
      <w:smallCaps w:val="1"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 w:val="1"/>
      <w:color w:val="393939" w:themeColor="accent6" w:themeShade="0000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 w:val="1"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CE73E0"/>
    <w:rPr>
      <w:b w:val="1"/>
      <w:bCs w:val="1"/>
      <w:smallCaps w:val="1"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CE73E0"/>
    <w:rPr>
      <w:b w:val="1"/>
      <w:bCs w:val="1"/>
      <w:i w:val="1"/>
      <w:iCs w:val="1"/>
      <w:smallCaps w:val="1"/>
      <w:color w:val="393939" w:themeColor="accent6" w:themeShade="0000BF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CE73E0"/>
    <w:rPr>
      <w:b w:val="1"/>
      <w:bCs w:val="1"/>
      <w:i w:val="1"/>
      <w:iCs w:val="1"/>
      <w:smallCaps w:val="1"/>
      <w:color w:val="262626" w:themeColor="accent6" w:themeShade="000080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CE73E0"/>
    <w:rPr>
      <w:b w:val="1"/>
      <w:bCs w:val="1"/>
      <w:caps w:val="1"/>
      <w:sz w:val="16"/>
      <w:szCs w:val="16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 w:val="1"/>
      <w:color w:val="262626" w:themeColor="text1" w:themeTint="0000D9"/>
      <w:sz w:val="52"/>
      <w:szCs w:val="52"/>
    </w:rPr>
  </w:style>
  <w:style w:type="paragraph" w:styleId="Alcm">
    <w:name w:val="Subtitle"/>
    <w:basedOn w:val="Norml"/>
    <w:next w:val="Norml"/>
    <w:link w:val="AlcmChar"/>
    <w:pPr>
      <w:spacing w:after="720"/>
      <w:jc w:val="right"/>
    </w:p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cstheme="majorBidi" w:eastAsiaTheme="majorEastAsia" w:hAnsiTheme="majorHAnsi"/>
    </w:rPr>
  </w:style>
  <w:style w:type="character" w:styleId="Kiemels2">
    <w:name w:val="Strong"/>
    <w:uiPriority w:val="22"/>
    <w:qFormat w:val="1"/>
    <w:rsid w:val="00CE73E0"/>
    <w:rPr>
      <w:b w:val="1"/>
      <w:bCs w:val="1"/>
      <w:color w:val="4d4d4d" w:themeColor="accent6"/>
    </w:rPr>
  </w:style>
  <w:style w:type="character" w:styleId="Kiemels">
    <w:name w:val="Emphasis"/>
    <w:uiPriority w:val="20"/>
    <w:qFormat w:val="1"/>
    <w:rsid w:val="00CE73E0"/>
    <w:rPr>
      <w:b w:val="1"/>
      <w:bCs w:val="1"/>
      <w:i w:val="1"/>
      <w:iCs w:val="1"/>
      <w:spacing w:val="10"/>
    </w:rPr>
  </w:style>
  <w:style w:type="paragraph" w:styleId="Nincstrkz">
    <w:name w:val="No Spacing"/>
    <w:link w:val="NincstrkzChar"/>
    <w:uiPriority w:val="1"/>
    <w:qFormat w:val="1"/>
    <w:rsid w:val="00CE73E0"/>
  </w:style>
  <w:style w:type="paragraph" w:styleId="Idzet">
    <w:name w:val="Quote"/>
    <w:basedOn w:val="Norml"/>
    <w:next w:val="Norml"/>
    <w:link w:val="IdzetChar"/>
    <w:uiPriority w:val="29"/>
    <w:qFormat w:val="1"/>
    <w:rsid w:val="00CE73E0"/>
    <w:rPr>
      <w:i w:val="1"/>
      <w:iCs w:val="1"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 w:val="1"/>
      <w:iCs w:val="1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CE73E0"/>
    <w:pPr>
      <w:pBdr>
        <w:top w:color="4d4d4d" w:space="1" w:sz="8" w:themeColor="accent6" w:val="single"/>
      </w:pBdr>
      <w:spacing w:after="140" w:before="140"/>
      <w:ind w:left="1440" w:right="1440"/>
    </w:pPr>
    <w:rPr>
      <w:b w:val="1"/>
      <w:bCs w:val="1"/>
      <w:i w:val="1"/>
      <w:iCs w:val="1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 w:val="1"/>
      <w:bCs w:val="1"/>
      <w:i w:val="1"/>
      <w:iCs w:val="1"/>
    </w:rPr>
  </w:style>
  <w:style w:type="character" w:styleId="Finomkiemels">
    <w:name w:val="Subtle Emphasis"/>
    <w:uiPriority w:val="19"/>
    <w:qFormat w:val="1"/>
    <w:rsid w:val="00CE73E0"/>
    <w:rPr>
      <w:i w:val="1"/>
      <w:iCs w:val="1"/>
    </w:rPr>
  </w:style>
  <w:style w:type="character" w:styleId="Erskiemels">
    <w:name w:val="Intense Emphasis"/>
    <w:uiPriority w:val="21"/>
    <w:qFormat w:val="1"/>
    <w:rsid w:val="00CE73E0"/>
    <w:rPr>
      <w:b w:val="1"/>
      <w:bCs w:val="1"/>
      <w:i w:val="1"/>
      <w:iCs w:val="1"/>
      <w:color w:val="4d4d4d" w:themeColor="accent6"/>
      <w:spacing w:val="10"/>
    </w:rPr>
  </w:style>
  <w:style w:type="character" w:styleId="Finomhivatkozs">
    <w:name w:val="Subtle Reference"/>
    <w:uiPriority w:val="31"/>
    <w:qFormat w:val="1"/>
    <w:rsid w:val="00CE73E0"/>
    <w:rPr>
      <w:b w:val="1"/>
      <w:bCs w:val="1"/>
    </w:rPr>
  </w:style>
  <w:style w:type="character" w:styleId="Ershivatkozs">
    <w:name w:val="Intense Reference"/>
    <w:uiPriority w:val="32"/>
    <w:qFormat w:val="1"/>
    <w:rsid w:val="00CE73E0"/>
    <w:rPr>
      <w:b w:val="1"/>
      <w:bCs w:val="1"/>
      <w:smallCaps w:val="1"/>
      <w:spacing w:val="5"/>
      <w:sz w:val="22"/>
      <w:szCs w:val="22"/>
      <w:u w:val="single"/>
    </w:rPr>
  </w:style>
  <w:style w:type="character" w:styleId="Knyvcme">
    <w:name w:val="Book Title"/>
    <w:uiPriority w:val="33"/>
    <w:qFormat w:val="1"/>
    <w:rsid w:val="00CE73E0"/>
    <w:rPr>
      <w:rFonts w:asciiTheme="majorHAnsi" w:cstheme="majorBidi" w:eastAsiaTheme="majorEastAsia" w:hAnsiTheme="majorHAnsi"/>
      <w:i w:val="1"/>
      <w:iCs w:val="1"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b2b2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b2b2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5e5" w:themeFill="accent4" w:themeFillTint="000033" w:val="clear"/>
      </w:tcPr>
    </w:tblStylePr>
    <w:tblStylePr w:type="band1Horz">
      <w:tblPr/>
      <w:tcPr>
        <w:shd w:color="auto" w:fill="e5e5e5" w:themeFill="accent4" w:themeFillTint="000033" w:val="clear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C17094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C17094"/>
    <w:rPr>
      <w:b w:val="1"/>
      <w:bCs w:val="1"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0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smallCap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small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smallCaps w:val="1"/>
      </w:rPr>
      <w:tblPr/>
      <w:tcPr>
        <w:tcBorders>
          <w:right w:color="7f7f7f" w:space="0" w:sz="4" w:val="single"/>
        </w:tcBorders>
      </w:tcPr>
    </w:tblStylePr>
    <w:tblStylePr w:type="lastCol">
      <w:rPr>
        <w:b w:val="1"/>
        <w:small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a1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2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cccccc" w:val="clear"/>
      </w:tcPr>
    </w:tblStylePr>
    <w:tblStylePr w:type="band1Horz">
      <w:tblPr/>
      <w:tcPr>
        <w:shd w:color="auto" w:fill="cccccc" w:val="clear"/>
      </w:tcPr>
    </w:tblStylePr>
    <w:tblStylePr w:type="neCell">
      <w:tblPr/>
      <w:tcPr>
        <w:tcBorders>
          <w:bottom w:color="666666" w:space="0" w:sz="4" w:val="single"/>
        </w:tcBorders>
      </w:tcPr>
    </w:tblStylePr>
    <w:tblStylePr w:type="nwCell">
      <w:tblPr/>
      <w:tcPr>
        <w:tcBorders>
          <w:bottom w:color="666666" w:space="0" w:sz="4" w:val="single"/>
        </w:tcBorders>
      </w:tcPr>
    </w:tblStylePr>
    <w:tblStylePr w:type="seCell">
      <w:tblPr/>
      <w:tcPr>
        <w:tcBorders>
          <w:top w:color="666666" w:space="0" w:sz="4" w:val="single"/>
        </w:tcBorders>
      </w:tcPr>
    </w:tblStylePr>
    <w:tblStylePr w:type="swCell">
      <w:tblPr/>
      <w:tcPr>
        <w:tcBorders>
          <w:top w:color="666666" w:space="0" w:sz="4" w:val="single"/>
        </w:tcBorders>
      </w:tcPr>
    </w:tblStylePr>
  </w:style>
  <w:style w:type="table" w:styleId="a3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6" w:customStyle="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720" w:lineRule="auto"/>
      <w:jc w:val="right"/>
    </w:pPr>
    <w:rPr/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Fjew5HblhBMk1ajz0060EMPmsg==">AMUW2mW5+/0e2m9+7DhNwfEpXhSrL0CXx5v2BDwBFsL+RQUFsEPZgX9cAlyUbHv+fflG3XJcBKFG3e5/SccXvuDVIcFBQv7bzEKjCFNVFRBG8/qKqyMaA8+eSnd07o5jSEBNpbMVv8cbljDZLGquYwYHzmEcxyWB3w==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2022-09-01T08:21:00Z</dcterms:created>
  <dc:creator>JAI</dc:creator>
</cp:coreProperties>
</file>