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rtl w:val="0"/>
        </w:rPr>
        <w:t xml:space="preserve">1.sz. Melléklet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Ajánlott minta: „Tantárgyleírás, tantárgyi tematika és teljesítési követelmények”</w:t>
      </w:r>
    </w:p>
    <w:p w:rsidR="00000000" w:rsidDel="00000000" w:rsidP="00000000" w:rsidRDefault="00000000" w:rsidRPr="00000000" w14:paraId="0000000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Tantárgyi tematika és teljesítési követelmények </w:t>
        <w:br w:type="textWrapping"/>
        <w:t xml:space="preserve">2022./2023. 1. félév</w:t>
      </w:r>
    </w:p>
    <w:tbl>
      <w:tblPr>
        <w:tblStyle w:val="Table1"/>
        <w:tblW w:w="1017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2"/>
        <w:tblGridChange w:id="0">
          <w:tblGrid>
            <w:gridCol w:w="3632"/>
            <w:gridCol w:w="65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Cím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Elektromágneses terek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Tárgykód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IVB038MLVM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Heti óraszám: ea/gy/lab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2/2/0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Kreditpont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Szak(ok)/ típus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Villamosmérnöki BSc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Tagozat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levelező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Követelmény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vizsga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Meghirdetés féléve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ősz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Előzetes követelmény(ek)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 tanszék(ek)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Automatizálási Tanszék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Tárgyfelelős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Tárgyleírás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rövid leírása (max. 10 rövid mondat). (Neptunban: Oktatás/Tárgyak/Tárgy adatok/Alapadatok/Tárgyleírás rovat)</w:t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  <w:t xml:space="preserve">A statikus villamos tér, munkavégzés a statikus villamos térben, térerősség és potenciál számítása, kapacitás, térjellemzők szigetelőanyagban, térkomponensek viselkedése határfelületeken, a statikus elektromos tér energiája, a statikus mágneses tér, a mágneses indukció számítása, anyagok mágneses tulajdonságai, mágneses körök, a elektromos és mágneses tér közvetlen kapcsolata, indukció, elektromágneses hullámok.</w:t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Tárgytematika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 ablak)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Az oktatás célja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Célkitűzések és a tantárgy teljesítésével elérhető tanulási eredmények megfogalmazása. </w:t>
      </w:r>
    </w:p>
    <w:p w:rsidR="00000000" w:rsidDel="00000000" w:rsidP="00000000" w:rsidRDefault="00000000" w:rsidRPr="00000000" w14:paraId="00000028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adatok/Tárgytematika/Oktatás célja rovat)</w:t>
      </w:r>
    </w:p>
    <w:p w:rsidR="00000000" w:rsidDel="00000000" w:rsidP="00000000" w:rsidRDefault="00000000" w:rsidRPr="00000000" w14:paraId="00000029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Az alapvető elektromos és mágneses terek tulajdonságainak megismerése. Az elektromágneses mező térjellemzőinek és forrásmennyiségeinek bevezetése. Statikus és időben változó terek tulajdonságainak vizsgálata.</w:t>
      </w:r>
    </w:p>
    <w:p w:rsidR="00000000" w:rsidDel="00000000" w:rsidP="00000000" w:rsidRDefault="00000000" w:rsidRPr="00000000" w14:paraId="0000002A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tantárgy tartalma</w:t>
      </w:r>
    </w:p>
    <w:p w:rsidR="00000000" w:rsidDel="00000000" w:rsidP="00000000" w:rsidRDefault="00000000" w:rsidRPr="00000000" w14:paraId="0000002E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adatok/Tárgytematika/Tantárgy tartalma rovat)</w:t>
      </w:r>
    </w:p>
    <w:p w:rsidR="00000000" w:rsidDel="00000000" w:rsidP="00000000" w:rsidRDefault="00000000" w:rsidRPr="00000000" w14:paraId="0000002F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Elektrodinamika tárgya, elektromágneses kölcsönhatás, statikus elektromos mező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Elektromos mező által végzett munka, elektromos potenciál, kapacitás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Statikus mágneses mező, Lorentz erő, töltött részecskék mozgása mágneses térben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Indukciós jelenségek, induktivitás, anyagok mágneses tulajdonságai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Elektrodinamika tárgya, elektromágneses kölcsönhatás, statikus elektromos mező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Elektromos mező által végzett munka, elektromos potenciál, kapacitás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Statikus mágneses mező, Lorentz erő, töltött részecskék mozgása mágneses térben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Indukciós jelenségek, induktivitás, anyagok mágneses tulajdonságai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(gyakorlati példák az előadáson tárgyalt témákhoz)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F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Részletes tantárgyi program és a követelmények ütemezése</w:t>
      </w:r>
    </w:p>
    <w:p w:rsidR="00000000" w:rsidDel="00000000" w:rsidP="00000000" w:rsidRDefault="00000000" w:rsidRPr="00000000" w14:paraId="00000043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Jelezzük az oktatási szüneteket is!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11"/>
        <w:gridCol w:w="3827"/>
        <w:gridCol w:w="1985"/>
        <w:gridCol w:w="1842"/>
        <w:gridCol w:w="1985"/>
        <w:tblGridChange w:id="0">
          <w:tblGrid>
            <w:gridCol w:w="711"/>
            <w:gridCol w:w="3827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5">
            <w:pPr>
              <w:keepNext w:val="1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ELŐADÁS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1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 hivatkozás, oldalszám (-tól-ig)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Elektrodinamika tárgya, elektromágneses kölcsönhatás, statikus elektromos mező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567-612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Elektromos mező által végzett munka, elektromos potenciál, kapacitás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613-654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Statikus mágneses mező, Lorentz erő, töltött részecskék mozgása mágneses térben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705-748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Indukciós jelenségek, induktivitás, anyagok mágneses tulajdonságai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749-785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Számonkérés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prezentáció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konzultációs óra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GYAKORLAT/LABORGYAKORLAT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irodalom, </w:t>
              <w:br w:type="textWrapping"/>
              <w:t xml:space="preserve">oldalszám (-tól-ig)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Elektrodinamika tárgya, elektromágneses kölcsönhatás, statikus elektromos mező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Elektromos mező által végzett munka, elektromos potenciál, kapacitás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Statikus mágneses mező, Lorentz erő, töltött részecskék mozgása mágneses térben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Indukciós jelenségek, induktivitás, anyagok mágneses tulajdonságai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Számonkérés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prezentáció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konzultációs óra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2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Számonkérési és értékelési rendszer</w:t>
      </w:r>
    </w:p>
    <w:p w:rsidR="00000000" w:rsidDel="00000000" w:rsidP="00000000" w:rsidRDefault="00000000" w:rsidRPr="00000000" w14:paraId="000000F3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adatok/Tárgytematika/Számonkérési és értékelési rendszere rovat)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Jelenléti és részvételi követelmények </w:t>
      </w:r>
    </w:p>
    <w:p w:rsidR="00000000" w:rsidDel="00000000" w:rsidP="00000000" w:rsidRDefault="00000000" w:rsidRPr="00000000" w14:paraId="000000F6">
      <w:pPr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</w:t>
      </w:r>
      <w:r w:rsidDel="00000000" w:rsidR="00000000" w:rsidRPr="00000000">
        <w:rPr>
          <w:i w:val="1"/>
          <w:sz w:val="16"/>
          <w:szCs w:val="16"/>
          <w:rtl w:val="0"/>
        </w:rPr>
        <w:t xml:space="preserve">PTE TVSz </w:t>
      </w:r>
      <w:r w:rsidDel="00000000" w:rsidR="00000000" w:rsidRPr="00000000">
        <w:rPr>
          <w:sz w:val="16"/>
          <w:szCs w:val="16"/>
          <w:rtl w:val="0"/>
        </w:rPr>
        <w:t xml:space="preserve">45.§ (2) és</w:t>
      </w:r>
      <w:r w:rsidDel="00000000" w:rsidR="00000000" w:rsidRPr="00000000">
        <w:rPr>
          <w:i w:val="1"/>
          <w:sz w:val="16"/>
          <w:szCs w:val="16"/>
          <w:rtl w:val="0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jelenlét ellenőrzésének módja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(pl.: jelenléti ív / online teszt/ jegyzőkönyv, stb.)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dfdfdf" w:val="clear"/>
        <w:rPr/>
      </w:pPr>
      <w:r w:rsidDel="00000000" w:rsidR="00000000" w:rsidRPr="00000000">
        <w:rPr>
          <w:rtl w:val="0"/>
        </w:rPr>
        <w:t xml:space="preserve">jelenléti ív</w:t>
      </w:r>
    </w:p>
    <w:p w:rsidR="00000000" w:rsidDel="00000000" w:rsidP="00000000" w:rsidRDefault="00000000" w:rsidRPr="00000000" w14:paraId="000000FA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Számonkérések </w:t>
      </w:r>
    </w:p>
    <w:p w:rsidR="00000000" w:rsidDel="00000000" w:rsidP="00000000" w:rsidRDefault="00000000" w:rsidRPr="00000000" w14:paraId="000000FD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követelménytípusának megfelelő rovatok töltendők ki (félévközi jeggyel, vagy vizsgával záruló tantárgyak). A másik típus rovatai törölhetők. </w:t>
      </w:r>
    </w:p>
    <w:p w:rsidR="00000000" w:rsidDel="00000000" w:rsidP="00000000" w:rsidRDefault="00000000" w:rsidRPr="00000000" w14:paraId="000000FE">
      <w:pPr>
        <w:ind w:left="1559" w:hanging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Vizsgával záruló tantárgy </w:t>
      </w:r>
    </w:p>
    <w:p w:rsidR="00000000" w:rsidDel="00000000" w:rsidP="00000000" w:rsidRDefault="00000000" w:rsidRPr="00000000" w14:paraId="00000100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vizsgára bocsájtás feltételének minősítésben </w:t>
      </w:r>
    </w:p>
    <w:p w:rsidR="00000000" w:rsidDel="00000000" w:rsidP="00000000" w:rsidRDefault="00000000" w:rsidRPr="00000000" w14:paraId="00000102">
      <w:pPr>
        <w:ind w:left="1559" w:hanging="851"/>
        <w:rPr>
          <w:b w:val="1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704.0000000000001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4869"/>
        <w:gridCol w:w="1648"/>
        <w:gridCol w:w="1983"/>
        <w:tblGridChange w:id="0">
          <w:tblGrid>
            <w:gridCol w:w="4869"/>
            <w:gridCol w:w="1648"/>
            <w:gridCol w:w="19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left="851" w:hanging="851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Típus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left="851" w:hanging="851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Értékelés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b w:val="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Részarány a vizsgára bocsájtás feltételének minősítésben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color w:val="808080"/>
                <w:rtl w:val="0"/>
              </w:rPr>
              <w:t xml:space="preserve">Prezentáció és hozzá kapcsolódó kérdés-válasz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0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max 10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0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100%</w:t>
            </w:r>
          </w:p>
        </w:tc>
      </w:tr>
      <w:tr>
        <w:trPr>
          <w:cantSplit w:val="0"/>
          <w:trHeight w:val="229.14062499999997" w:hRule="atLeast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0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0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0D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0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0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1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ind w:left="426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aláírás megszerzésének feltétele </w:t>
      </w:r>
    </w:p>
    <w:p w:rsidR="00000000" w:rsidDel="00000000" w:rsidP="00000000" w:rsidRDefault="00000000" w:rsidRPr="00000000" w14:paraId="00000114">
      <w:pPr>
        <w:ind w:left="851" w:hanging="142.00000000000003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(Pl.:  40%-os évközi minősítés.)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hd w:fill="dfdfdf" w:val="clear"/>
        <w:rPr/>
      </w:pPr>
      <w:r w:rsidDel="00000000" w:rsidR="00000000" w:rsidRPr="00000000">
        <w:rPr>
          <w:rtl w:val="0"/>
        </w:rPr>
        <w:t xml:space="preserve">Az utolsó konzultációs héten a hallgatók egy általuk választott és az oktatóval egyeztetett témából 10 perces prezentációt tartanak, amelyet 5 perces kérdés-válasz követ. Az aláírás feltétele a prezentáció megtartása és az esetlegesen felmerülő kérdések 40%-ának helyes megválaszolása.</w:t>
      </w:r>
    </w:p>
    <w:p w:rsidR="00000000" w:rsidDel="00000000" w:rsidP="00000000" w:rsidRDefault="00000000" w:rsidRPr="00000000" w14:paraId="00000116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426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az aláírás megszerzéséhez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50§(2))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alkalmazni: </w:t>
      </w:r>
    </w:p>
    <w:p w:rsidR="00000000" w:rsidDel="00000000" w:rsidP="00000000" w:rsidRDefault="00000000" w:rsidRPr="00000000" w14:paraId="0000011B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:rsidR="00000000" w:rsidDel="00000000" w:rsidP="00000000" w:rsidRDefault="00000000" w:rsidRPr="00000000" w14:paraId="0000011C">
      <w:pPr>
        <w:shd w:fill="dfdfdf" w:val="clear"/>
        <w:rPr/>
      </w:pPr>
      <w:r w:rsidDel="00000000" w:rsidR="00000000" w:rsidRPr="00000000">
        <w:rPr>
          <w:rtl w:val="0"/>
        </w:rPr>
        <w:t xml:space="preserve">Az első hétre meghirdetett vizsgaalkalmak egyikén szóbeli felelet a hallgató által választott és feldolgozott, tantárgyi tematika részét képező témából.</w:t>
      </w:r>
    </w:p>
    <w:p w:rsidR="00000000" w:rsidDel="00000000" w:rsidP="00000000" w:rsidRDefault="00000000" w:rsidRPr="00000000" w14:paraId="0000011D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i w:val="1"/>
          <w:highlight w:val="yellow"/>
        </w:rPr>
      </w:pPr>
      <w:r w:rsidDel="00000000" w:rsidR="00000000" w:rsidRPr="00000000">
        <w:rPr>
          <w:b w:val="1"/>
          <w:i w:val="1"/>
          <w:rtl w:val="0"/>
        </w:rPr>
        <w:t xml:space="preserve">Vizsga típusa</w:t>
      </w:r>
      <w:r w:rsidDel="00000000" w:rsidR="00000000" w:rsidRPr="00000000">
        <w:rPr>
          <w:i w:val="1"/>
          <w:rtl w:val="0"/>
        </w:rPr>
        <w:t xml:space="preserve"> (írásbeli, szóbeli): </w:t>
      </w:r>
      <w:r w:rsidDel="00000000" w:rsidR="00000000" w:rsidRPr="00000000">
        <w:rPr>
          <w:i w:val="1"/>
          <w:highlight w:val="lightGray"/>
          <w:rtl w:val="0"/>
        </w:rPr>
        <w:t xml:space="preserve">szóbeli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vizsga minimum 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40 </w:t>
      </w:r>
      <w:r w:rsidDel="00000000" w:rsidR="00000000" w:rsidRPr="00000000">
        <w:rPr>
          <w:b w:val="1"/>
          <w:i w:val="1"/>
          <w:rtl w:val="0"/>
        </w:rPr>
        <w:t xml:space="preserve">%-os teljesítés esetén sikeres.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min. 40 %-nál nem lehet több.)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1"/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kialakítása </w:t>
      </w:r>
      <w:r w:rsidDel="00000000" w:rsidR="00000000" w:rsidRPr="00000000">
        <w:rPr>
          <w:i w:val="1"/>
          <w:sz w:val="16"/>
          <w:szCs w:val="16"/>
          <w:rtl w:val="0"/>
        </w:rPr>
        <w:t xml:space="preserve">(TVSz 47§ 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708" w:firstLine="0"/>
        <w:rPr/>
      </w:pPr>
      <w:r w:rsidDel="00000000" w:rsidR="00000000" w:rsidRPr="00000000">
        <w:rPr>
          <w:b w:val="1"/>
          <w:i w:val="1"/>
          <w:shd w:fill="dfdfdf" w:val="clear"/>
          <w:rtl w:val="0"/>
        </w:rPr>
        <w:t xml:space="preserve"> 50</w:t>
      </w:r>
      <w:r w:rsidDel="00000000" w:rsidR="00000000" w:rsidRPr="00000000">
        <w:rPr>
          <w:shd w:fill="dfdfdf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%-ban az évközi teljesítmény,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50</w:t>
      </w:r>
      <w:r w:rsidDel="00000000" w:rsidR="00000000" w:rsidRPr="00000000">
        <w:rPr>
          <w:rtl w:val="0"/>
        </w:rPr>
        <w:t xml:space="preserve"> %-ban a vizsgán nyújtott teljesítmény alapján történik.</w:t>
      </w:r>
    </w:p>
    <w:p w:rsidR="00000000" w:rsidDel="00000000" w:rsidP="00000000" w:rsidRDefault="00000000" w:rsidRPr="00000000" w14:paraId="00000125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megállapítása az összesített teljesítmény alapján %-os bontásban</w:t>
      </w:r>
    </w:p>
    <w:p w:rsidR="00000000" w:rsidDel="00000000" w:rsidP="00000000" w:rsidRDefault="00000000" w:rsidRPr="00000000" w14:paraId="00000127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9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134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35">
      <w:pPr>
        <w:ind w:left="851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2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</w:t>
      </w:r>
    </w:p>
    <w:p w:rsidR="00000000" w:rsidDel="00000000" w:rsidP="00000000" w:rsidRDefault="00000000" w:rsidRPr="00000000" w14:paraId="00000139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Felsorolás fontossági sorrendben. (Neptunban: Oktatás/Tárgyak/Tárgy adatok/Tárgytematika/Irodalom rovat)</w:t>
      </w:r>
    </w:p>
    <w:p w:rsidR="00000000" w:rsidDel="00000000" w:rsidP="00000000" w:rsidRDefault="00000000" w:rsidRPr="00000000" w14:paraId="0000013A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Kötelező irodalom és elérhetősége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[1.]Útban a modern fizikához, Alvin Hudson - Rex Nelson, ISBN:9789635771974, Kiadás éve:1994.</w:t>
      </w:r>
    </w:p>
    <w:p w:rsidR="00000000" w:rsidDel="00000000" w:rsidP="00000000" w:rsidRDefault="00000000" w:rsidRPr="00000000" w14:paraId="0000013D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https://vik.wiki/Alvin_Hudson_-_Rex_Nelson:_%C3%9Atban_a_modern_fizik%C3%A1hoz</w:t>
        </w:r>
      </w:hyperlink>
      <w:r w:rsidDel="00000000" w:rsidR="00000000" w:rsidRPr="00000000">
        <w:rPr>
          <w:rtl w:val="0"/>
        </w:rPr>
        <w:t xml:space="preserve"> (2022.09.05.)</w:t>
      </w:r>
    </w:p>
    <w:p w:rsidR="00000000" w:rsidDel="00000000" w:rsidP="00000000" w:rsidRDefault="00000000" w:rsidRPr="00000000" w14:paraId="0000013E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k.wiki/Alvin_Hudson_-_Rex_Nelson:_%C3%9Atban_a_modern_fizik%C3%A1hoz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LUuQndNxyqK6oQFdaycEOuRzQ==">AMUW2mVlOhtUE1q7oqhyN0lar03GOPLAmRai21cajEp5l17S85b9K/jKsVhaFLZ+4Jsm/3r+kWqnffK+EUhOetazMuSwo/xERrETzgiqqYoorzEQ019V82LM1I4wCWgpqQA7kAQHMC3c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2022-08-29T07:35:00Z</dcterms:created>
  <dc:creator>JAI</dc:creator>
</cp:coreProperties>
</file>