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1.sz. Melléklet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Ajánlott minta: „Tantárgyleírás, tantárgyi tematika és teljesítési követelmények”</w:t>
      </w:r>
    </w:p>
    <w:p>
      <w:pPr>
        <w:pStyle w:val="Heading1"/>
        <w:shd w:val="clear" w:color="auto" w:fill="C7C7C7" w:themeFill="accent1" w:themeFillShade="e6"/>
        <w:rPr>
          <w:lang w:val="en-US"/>
        </w:rPr>
      </w:pPr>
      <w:r>
        <w:rPr/>
        <w:t xml:space="preserve">Tantárgyi tematika és teljesítési követelmények </w:t>
        <w:br/>
      </w:r>
      <w:r>
        <w:rPr>
          <w:lang w:val="en-US"/>
        </w:rPr>
        <w:t>…2022./2023….. .1. félév</w:t>
      </w:r>
    </w:p>
    <w:tbl>
      <w:tblPr>
        <w:tblStyle w:val="Tblzatrcsos7tarka1"/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24"/>
        <w:gridCol w:w="65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Cím</w:t>
            </w:r>
          </w:p>
        </w:tc>
        <w:tc>
          <w:tcPr>
            <w:tcW w:w="6527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" w:cs="" w:ascii="Calibri Light" w:hAnsi="Calibri Light" w:asciiTheme="majorHAnsi" w:hAnsiTheme="majorHAnsi"/>
                <w:b w:val="false"/>
                <w:bCs/>
                <w:i/>
                <w:iCs/>
                <w:color w:val="auto"/>
                <w:kern w:val="0"/>
                <w:sz w:val="24"/>
                <w:szCs w:val="24"/>
                <w:lang w:val="hu-HU" w:eastAsia="en-US" w:bidi="ar-SA"/>
              </w:rPr>
              <w:t>Épületinformatika 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Tárgykód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IVB096MLVM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Konzultációnkénti óraszám: ea/gy/lab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előadás 2/labor 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Kreditpont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4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Szak(ok)/ típus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Informatikai és Villamos Intézet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Tagozat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Cs w:val="false"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levelező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Követelmény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Meghirdetés féléve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2022/23/1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Előzetes követelmény(ek)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 tanszék(ek)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Automatizálás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Tárgyfelelős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Helmich József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Oktatók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Helmich József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" w:cs="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6527" w:type="dxa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" w:cs="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>
        <w:rPr/>
        <w:t>Tárgyleírás</w:t>
      </w:r>
    </w:p>
    <w:p>
      <w:pPr>
        <w:pStyle w:val="Normal"/>
        <w:suppressAutoHyphens w:val="true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color="auto" w:fill="DFDFDF" w:themeFill="background2" w:themeFillShade="e6"/>
        <w:rPr/>
      </w:pPr>
      <w:r>
        <w:rPr/>
        <w:t>…</w:t>
      </w:r>
      <w:r>
        <w:rPr/>
        <w:t>Kórszerű épületinstallációs rendszerek áttekintése. Néhány konkrét rendszer jellemzőinek ismertetése.</w:t>
      </w:r>
    </w:p>
    <w:p>
      <w:pPr>
        <w:pStyle w:val="Normal"/>
        <w:shd w:val="clear" w:color="auto" w:fill="DFDFDF" w:themeFill="background2" w:themeFillShade="e6"/>
        <w:rPr/>
      </w:pPr>
      <w:r>
        <w:rPr/>
        <w:t>NIKO busz rendszer felépítése, programozása.</w:t>
      </w:r>
    </w:p>
    <w:p>
      <w:pPr>
        <w:pStyle w:val="Normal"/>
        <w:shd w:val="clear" w:color="auto" w:fill="DFDFDF" w:themeFill="background2" w:themeFillShade="e6"/>
        <w:rPr/>
      </w:pPr>
      <w:r>
        <w:rPr/>
        <w:t>KNX rendszer mint épületautomatizálási rendszer tervezési és üzembehelyezési ismereteinek megtanítása.</w:t>
      </w:r>
    </w:p>
    <w:p>
      <w:pPr>
        <w:pStyle w:val="Normal"/>
        <w:shd w:val="clear" w:color="auto" w:fill="DFDFDF" w:themeFill="background2" w:themeFillShade="e6"/>
        <w:rPr/>
      </w:pPr>
      <w:r>
        <w:rPr/>
        <w:t>Meglevő KNX rendszer diagnotizálása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suppressAutoHyphens w:val="true"/>
        <w:rPr>
          <w:i/>
          <w:i/>
          <w:iCs/>
        </w:rPr>
      </w:pPr>
      <w:r>
        <w:rPr>
          <w:i/>
          <w:iCs/>
        </w:rPr>
      </w:r>
    </w:p>
    <w:p>
      <w:pPr>
        <w:pStyle w:val="Heading1"/>
        <w:shd w:val="clear" w:color="auto" w:fill="C7C7C7" w:themeFill="accent1" w:themeFillShade="e6"/>
        <w:rPr>
          <w:lang w:val="en-US"/>
        </w:rPr>
      </w:pPr>
      <w:r>
        <w:rPr>
          <w:lang w:val="en-US"/>
        </w:rPr>
        <w:t>Tárgytematika</w:t>
      </w:r>
    </w:p>
    <w:p>
      <w:pPr>
        <w:pStyle w:val="Normal"/>
        <w:rPr>
          <w:lang w:val="en-US"/>
        </w:rPr>
      </w:pPr>
      <w:r>
        <w:rPr>
          <w:i/>
          <w:iCs/>
          <w:sz w:val="16"/>
          <w:szCs w:val="16"/>
        </w:rPr>
        <w:t>(Neptunban: Oktatás/Tárgyak/Tárgy adatok/Tárgytematika ablak)</w:t>
      </w:r>
    </w:p>
    <w:p>
      <w:pPr>
        <w:pStyle w:val="Heading2"/>
        <w:numPr>
          <w:ilvl w:val="0"/>
          <w:numId w:val="5"/>
        </w:numPr>
        <w:rPr>
          <w:rFonts w:ascii="Times New Roman" w:hAnsi="Times New Roman"/>
          <w:b/>
          <w:b/>
          <w:bCs/>
        </w:rPr>
      </w:pPr>
      <w:r>
        <w:rPr>
          <w:b/>
          <w:bCs/>
          <w:lang w:val="en-US"/>
        </w:rPr>
        <w:t>Az oktatás célja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  <w:t>…</w:t>
      </w:r>
      <w:r>
        <w:rPr/>
        <w:t>A hallgatók felkészítése szemlélet váltásra a hagyományos installációs megoldásokról a korszerű  épületautomatizálási és felügyeleti rendszerekre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5"/>
        </w:numPr>
        <w:rPr>
          <w:b/>
          <w:b/>
          <w:bCs/>
        </w:rPr>
      </w:pPr>
      <w:r>
        <w:rPr>
          <w:b/>
          <w:bCs/>
        </w:rPr>
        <w:t>A tantárgy tartalma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tbl>
      <w:tblPr>
        <w:tblStyle w:val="PlainTable3"/>
        <w:tblW w:w="10348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42"/>
        <w:gridCol w:w="850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caps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8505" w:type="dxa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Témakörök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Előadás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témakör Különböző installációs rendszerek összehasonlítása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témakör NIKO Busz felépítése, alkalmazhatósága, programozása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témakör Az IEB rendszer argumetunai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stb.A KNX rendszer felépítése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A KNX rendszer topológiája, a címzési struktúra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A kNX Készülékek felépítése,, logikai címzés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A rendszer kialakításának problémái , eszközei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 rNIKO busz eszközök megismerése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témakör Hálózat felépítés, programozás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témakör ETS szoftver kezelése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stb. Fizikai címzés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Készülék kiválasztás, applikációs szoftver kválasztás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caps w:val="false"/>
                <w:smallCap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Labor-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témakör Parametrizálás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témakör Készülékek összerendelése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témakör Programozáss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stb.Vezérlő szoftver feltöltése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üzembehyezés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diganosztizálás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jc w:val="center"/>
        <w:rPr>
          <w:b/>
          <w:b/>
          <w:bCs/>
          <w:highlight w:val="green"/>
        </w:rPr>
      </w:pPr>
      <w:r>
        <w:rPr>
          <w:b/>
          <w:bCs/>
          <w:highlight w:val="green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3"/>
        <w:rPr>
          <w:b/>
          <w:b/>
          <w:bCs/>
        </w:rPr>
      </w:pPr>
      <w:r>
        <w:rPr>
          <w:b/>
          <w:bCs/>
        </w:rPr>
        <w:t>Részletes tantárgyi program és a követelmények ütemezése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Jelezzük az oktatási szüneteket is!</w:t>
      </w:r>
    </w:p>
    <w:p>
      <w:pPr>
        <w:pStyle w:val="Normal"/>
        <w:rPr/>
      </w:pPr>
      <w:r>
        <w:rPr/>
      </w:r>
    </w:p>
    <w:tbl>
      <w:tblPr>
        <w:tblStyle w:val="Tblzatrcsos7tarka1"/>
        <w:tblW w:w="10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11"/>
        <w:gridCol w:w="3827"/>
        <w:gridCol w:w="1984"/>
        <w:gridCol w:w="1842"/>
        <w:gridCol w:w="198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0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ELŐADÁS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rPr>
                <w:rFonts w:cs="Calibri" w:cstheme="minorHAnsi"/>
                <w:b/>
                <w:b/>
                <w:bCs/>
                <w:cap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Kötelező irodalom hivatkozás, 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Rendszerek megismerése összehasonlítása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Elektronikus anyag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NIKO busz ismertetése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Elektronikus anyag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NIKO busz programozása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KNX rendszer argumentuma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EIB könyv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KNX topológia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EIB könyv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KNX rendszer címzése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„   „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KNX készülékek felépítése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KNX készülékek felépítése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KNX készülékek összerendelése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KNX Készülékek alkalmazói szoftvere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KNX rendszer szerelési előírásai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KNX rendszer túlfeszültség védelme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ZH Számonkérés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KNX Powerline rendszer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elektronikus anyag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KNX RF és IP rendszer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elektronikus anyag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blzatrcsos7tarka1"/>
        <w:tblW w:w="10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3"/>
        <w:gridCol w:w="3832"/>
        <w:gridCol w:w="1986"/>
        <w:gridCol w:w="1842"/>
        <w:gridCol w:w="19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caps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ap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Gyakorlat/Laborgyakorlat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Labor kialakításának és szabályzatának ismertetése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NIKO busz eszközök megismerése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NIKO busos rendszer programozása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Ismerkedés az ETS szoftverrel, fizikai címzés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Világítási hálózat programozás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Terv bővítése árnyékolással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Üzembe helyezés, diagnosztizálás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Terv bemutatás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</w:t>
            </w:r>
            <w:bookmarkStart w:id="0" w:name="_GoBack"/>
            <w:bookmarkEnd w:id="0"/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Fakultatív gyakorlat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5"/>
        </w:numPr>
        <w:rPr>
          <w:b/>
          <w:b/>
          <w:bCs/>
          <w:lang w:val="en-US"/>
        </w:rPr>
      </w:pPr>
      <w:r>
        <w:rPr>
          <w:b/>
          <w:bCs/>
          <w:lang w:val="en-US"/>
        </w:rPr>
        <w:t>Számonkérési és értékelési rendszer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iCs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jelenlét ellenőrzésének módja </w:t>
      </w:r>
      <w:r>
        <w:rPr>
          <w:i/>
          <w:iCs/>
          <w:sz w:val="16"/>
          <w:szCs w:val="16"/>
        </w:rPr>
        <w:t>(pl.: jelenléti ív / online teszt/ jegyzőkönyv, stb.)</w:t>
      </w:r>
    </w:p>
    <w:p>
      <w:pPr>
        <w:pStyle w:val="Normal"/>
        <w:shd w:val="clear" w:color="auto" w:fill="DFDFDF" w:themeFill="background2" w:themeFillShade="e6"/>
        <w:rPr/>
      </w:pPr>
      <w:r>
        <w:rPr/>
        <w:t>…</w:t>
      </w:r>
    </w:p>
    <w:p>
      <w:pPr>
        <w:pStyle w:val="Normal"/>
        <w:shd w:val="clear" w:color="auto" w:fill="DFDFDF" w:themeFill="background2" w:themeFillShade="e6"/>
        <w:rPr/>
      </w:pPr>
      <w:r>
        <w:rPr/>
        <w:t>Jelenléti ív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keepNext w:val="true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Számonkérések </w:t>
      </w:r>
    </w:p>
    <w:p>
      <w:pPr>
        <w:pStyle w:val="Normal"/>
        <w:keepNext w:val="true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Normal"/>
        <w:keepNext w:val="true"/>
        <w:rPr/>
      </w:pPr>
      <w:r>
        <w:rPr/>
      </w:r>
    </w:p>
    <w:p>
      <w:pPr>
        <w:pStyle w:val="IntenseQuote"/>
        <w:ind w:left="1440" w:right="1440" w:hanging="1440"/>
        <w:rPr>
          <w:sz w:val="22"/>
          <w:szCs w:val="22"/>
        </w:rPr>
      </w:pPr>
      <w:r>
        <w:rPr>
          <w:sz w:val="22"/>
          <w:szCs w:val="22"/>
        </w:rPr>
        <w:t xml:space="preserve">Félévközi jeggyel záruló tantárgy </w:t>
      </w:r>
      <w:r>
        <w:rPr>
          <w:b w:val="false"/>
          <w:bCs w:val="false"/>
          <w:sz w:val="22"/>
          <w:szCs w:val="22"/>
        </w:rPr>
        <w:t>(PTE TVSz 40§(3))</w:t>
      </w:r>
    </w:p>
    <w:p>
      <w:pPr>
        <w:pStyle w:val="Normal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Félévközi ellenőrzések, teljesítményértékelések és részarányuk a minősítésben </w:t>
      </w:r>
      <w:r>
        <w:rPr>
          <w:rStyle w:val="SubtleEmphasis"/>
          <w:sz w:val="16"/>
          <w:szCs w:val="16"/>
        </w:rPr>
        <w:t>(A táblázat példái törlendők.)</w:t>
      </w:r>
    </w:p>
    <w:tbl>
      <w:tblPr>
        <w:tblStyle w:val="GridTableLight"/>
        <w:tblW w:w="8500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68"/>
        <w:gridCol w:w="1507"/>
        <w:gridCol w:w="2125"/>
      </w:tblGrid>
      <w:tr>
        <w:trPr/>
        <w:tc>
          <w:tcPr>
            <w:tcW w:w="48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Típus</w:t>
            </w:r>
          </w:p>
        </w:tc>
        <w:tc>
          <w:tcPr>
            <w:tcW w:w="15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Értékelés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Részarány a minősítésben</w:t>
            </w:r>
          </w:p>
        </w:tc>
      </w:tr>
      <w:tr>
        <w:trPr/>
        <w:tc>
          <w:tcPr>
            <w:tcW w:w="486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45" w:hanging="0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pl.: 1. ZH 13.héten</w:t>
            </w:r>
          </w:p>
        </w:tc>
        <w:tc>
          <w:tcPr>
            <w:tcW w:w="150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nem értelmezhető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20 %</w:t>
            </w:r>
          </w:p>
        </w:tc>
      </w:tr>
      <w:tr>
        <w:trPr/>
        <w:tc>
          <w:tcPr>
            <w:tcW w:w="486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pl.: 2. pót.ZH 15. héten</w:t>
            </w:r>
          </w:p>
        </w:tc>
        <w:tc>
          <w:tcPr>
            <w:tcW w:w="150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30 pont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30 %</w:t>
            </w:r>
          </w:p>
        </w:tc>
      </w:tr>
      <w:tr>
        <w:trPr/>
        <w:tc>
          <w:tcPr>
            <w:tcW w:w="486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pl.: beadandó Hf (projekt dokumentáció)</w:t>
            </w:r>
          </w:p>
        </w:tc>
        <w:tc>
          <w:tcPr>
            <w:tcW w:w="150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30 pont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30 %</w:t>
            </w:r>
          </w:p>
        </w:tc>
      </w:tr>
      <w:tr>
        <w:trPr/>
        <w:tc>
          <w:tcPr>
            <w:tcW w:w="486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50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15 pont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20 %</w:t>
            </w:r>
          </w:p>
        </w:tc>
      </w:tr>
    </w:tbl>
    <w:p>
      <w:pPr>
        <w:pStyle w:val="Normal"/>
        <w:ind w:left="1559" w:hanging="851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851" w:hanging="851"/>
        <w:rPr/>
      </w:pPr>
      <w:r>
        <w:rPr>
          <w:rStyle w:val="SubtleEmphasis"/>
          <w:b/>
          <w:bCs/>
        </w:rPr>
        <w:t>Pótlási lehetőségek módja, típusa</w:t>
      </w:r>
      <w:r>
        <w:rPr/>
        <w:t xml:space="preserve"> </w:t>
      </w:r>
      <w:r>
        <w:rPr>
          <w:sz w:val="16"/>
          <w:szCs w:val="16"/>
        </w:rPr>
        <w:t>(PTE TVSz 47§(4))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>
      <w:pPr>
        <w:pStyle w:val="Normal"/>
        <w:shd w:val="clear" w:color="auto" w:fill="DFDFDF" w:themeFill="background2" w:themeFillShade="e6"/>
        <w:rPr/>
      </w:pPr>
      <w:r>
        <w:rPr/>
        <w:t>…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Az érdemjegy kialakításának módja %-os bontásban </w:t>
      </w:r>
    </w:p>
    <w:p>
      <w:pPr>
        <w:pStyle w:val="Normal"/>
        <w:ind w:left="1559" w:hanging="851"/>
        <w:rPr>
          <w:rStyle w:val="SubtleEmphasis"/>
          <w:sz w:val="16"/>
          <w:szCs w:val="16"/>
        </w:rPr>
      </w:pPr>
      <w:r>
        <w:rPr>
          <w:rStyle w:val="SubtleEmphasis"/>
          <w:sz w:val="16"/>
          <w:szCs w:val="16"/>
        </w:rPr>
        <w:t>Az összesített teljesítmény alapján az alábbi szerint.</w:t>
      </w:r>
    </w:p>
    <w:p>
      <w:pPr>
        <w:pStyle w:val="Heading6"/>
        <w:rPr/>
      </w:pPr>
      <w:r>
        <w:rPr/>
      </w:r>
    </w:p>
    <w:tbl>
      <w:tblPr>
        <w:tblStyle w:val="GridTableLight"/>
        <w:tblW w:w="5245" w:type="dxa"/>
        <w:jc w:val="left"/>
        <w:tblInd w:w="1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85 % …felett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73 %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61 % ... 72 %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50 % ... 60 %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IntenseQuote"/>
        <w:ind w:left="1440" w:right="1440" w:hanging="1440"/>
        <w:rPr>
          <w:sz w:val="22"/>
          <w:szCs w:val="22"/>
        </w:rPr>
      </w:pPr>
      <w:r>
        <w:rPr>
          <w:sz w:val="22"/>
          <w:szCs w:val="22"/>
        </w:rPr>
        <w:t xml:space="preserve">Vizsgával záruló tantárgy 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Félévközi ellenőrzések, teljesítményértékelések és részarányuk a vizsgára bocsájtás feltételének minősítésben </w:t>
      </w:r>
    </w:p>
    <w:p>
      <w:pPr>
        <w:pStyle w:val="Normal"/>
        <w:ind w:left="1559" w:hanging="851"/>
        <w:rPr>
          <w:rStyle w:val="SubtleEmphasis"/>
          <w:b/>
          <w:b/>
          <w:bCs/>
          <w:sz w:val="16"/>
          <w:szCs w:val="16"/>
        </w:rPr>
      </w:pPr>
      <w:r>
        <w:rPr>
          <w:rStyle w:val="SubtleEmphasis"/>
          <w:sz w:val="16"/>
          <w:szCs w:val="16"/>
        </w:rPr>
        <w:t>(A táblázat példái törlendők.)</w:t>
      </w:r>
    </w:p>
    <w:tbl>
      <w:tblPr>
        <w:tblStyle w:val="GridTable1Light"/>
        <w:tblW w:w="8500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68"/>
        <w:gridCol w:w="1648"/>
        <w:gridCol w:w="19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Típus</w:t>
            </w:r>
          </w:p>
        </w:tc>
        <w:tc>
          <w:tcPr>
            <w:tcW w:w="1648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Értékelés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 xml:space="preserve">Részarány </w:t>
            </w:r>
            <w:bookmarkStart w:id="1" w:name="_Hlk108820255"/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a vizsgára bocsájtás feltételének minősítésben</w:t>
            </w:r>
            <w:bookmarkEnd w:id="1"/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315" w:hanging="270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pl.: 1. ZH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20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20 %</w:t>
            </w:r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pl.: 2. ZH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30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30 %</w:t>
            </w:r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pl.: beadandó hf (projekt dokumentáció)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30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30 %</w:t>
            </w:r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15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20 %</w:t>
            </w:r>
          </w:p>
        </w:tc>
      </w:tr>
    </w:tbl>
    <w:p>
      <w:pPr>
        <w:pStyle w:val="Normal"/>
        <w:ind w:left="426" w:hanging="0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rStyle w:val="SubtleEmphasis"/>
          <w:b/>
          <w:bCs/>
        </w:rPr>
        <w:t>Az aláírás megszerzésének feltétele</w:t>
      </w:r>
      <w:r>
        <w:rPr>
          <w:b/>
          <w:bCs/>
          <w:i/>
          <w:iCs/>
        </w:rPr>
        <w:t xml:space="preserve"> </w:t>
      </w:r>
    </w:p>
    <w:p>
      <w:pPr>
        <w:pStyle w:val="Normal"/>
        <w:ind w:left="851" w:hanging="142"/>
        <w:rPr>
          <w:rStyle w:val="SubtleEmphasis"/>
          <w:sz w:val="16"/>
          <w:szCs w:val="16"/>
        </w:rPr>
      </w:pPr>
      <w:r>
        <w:rPr>
          <w:sz w:val="16"/>
          <w:szCs w:val="16"/>
        </w:rPr>
        <w:t>(Pl.:  40%-os évközi minősítés.)</w:t>
      </w:r>
    </w:p>
    <w:p>
      <w:pPr>
        <w:pStyle w:val="Normal"/>
        <w:shd w:val="clear" w:color="auto" w:fill="DFDFDF" w:themeFill="background2" w:themeFillShade="e6"/>
        <w:rPr/>
      </w:pPr>
      <w:r>
        <w:rPr/>
        <w:t>…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ind w:left="426" w:hanging="0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rStyle w:val="SubtleEmphasis"/>
          <w:b/>
          <w:bCs/>
        </w:rPr>
        <w:t>Pótlási lehetőségek az aláírás megszerzéséhez</w:t>
      </w:r>
      <w:r>
        <w:rPr>
          <w:b/>
          <w:bCs/>
        </w:rPr>
        <w:t xml:space="preserve"> </w:t>
      </w:r>
      <w:r>
        <w:rPr>
          <w:sz w:val="16"/>
          <w:szCs w:val="16"/>
        </w:rPr>
        <w:t>(PTE TVSz 50§(2))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javításra, ismétlésre és pótlásra vonatkozó különös szabályokat a TVSZ általános szabályaival együttesen kell értelmezni és alkalmazni: 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>
      <w:pPr>
        <w:pStyle w:val="Normal"/>
        <w:shd w:val="clear" w:color="auto" w:fill="DFDFDF" w:themeFill="background2" w:themeFillShade="e6"/>
        <w:rPr/>
      </w:pPr>
      <w:r>
        <w:rPr/>
        <w:t>…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rPr>
          <w:i/>
          <w:i/>
          <w:iCs/>
          <w:shd w:fill="FFFF00" w:val="clear"/>
        </w:rPr>
      </w:pPr>
      <w:r>
        <w:rPr>
          <w:b/>
          <w:bCs/>
          <w:i/>
          <w:iCs/>
        </w:rPr>
        <w:t>Vizsga típusa</w:t>
      </w:r>
      <w:r>
        <w:rPr>
          <w:i/>
          <w:iCs/>
        </w:rPr>
        <w:t xml:space="preserve"> (írásbeli, szóbeli): </w:t>
      </w:r>
      <w:r>
        <w:rPr>
          <w:i/>
          <w:iCs/>
          <w:highlight w:val="lightGray"/>
          <w:shd w:fill="FFFF00" w:val="clear"/>
        </w:rPr>
        <w:t>…írásbeli és szóbeli….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vizsga minimum  </w:t>
      </w:r>
      <w:r>
        <w:rPr>
          <w:b/>
          <w:bCs/>
          <w:i/>
          <w:iCs/>
          <w:shd w:fill="DFDFDF" w:val="clear"/>
        </w:rPr>
        <w:t xml:space="preserve"> …   50   </w:t>
      </w:r>
      <w:r>
        <w:rPr>
          <w:b/>
          <w:bCs/>
          <w:i/>
          <w:iCs/>
        </w:rPr>
        <w:t xml:space="preserve">%-os teljesítés esetén sikeres. </w:t>
      </w:r>
      <w:r>
        <w:rPr>
          <w:i/>
          <w:iCs/>
          <w:sz w:val="16"/>
          <w:szCs w:val="16"/>
        </w:rPr>
        <w:t>(A min. 40 %-nál nem lehet több.)</w:t>
      </w:r>
    </w:p>
    <w:p>
      <w:pPr>
        <w:pStyle w:val="Normal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Az érdemjegy kialakítása </w:t>
      </w:r>
      <w:r>
        <w:rPr>
          <w:rStyle w:val="SubtleEmphasis"/>
          <w:sz w:val="16"/>
          <w:szCs w:val="16"/>
        </w:rPr>
        <w:t>(TVSz 47§ (3))</w:t>
      </w:r>
    </w:p>
    <w:p>
      <w:pPr>
        <w:pStyle w:val="Normal"/>
        <w:ind w:left="708" w:hanging="0"/>
        <w:rPr/>
      </w:pPr>
      <w:r>
        <w:rPr>
          <w:b/>
          <w:bCs/>
          <w:i/>
          <w:iCs/>
          <w:shd w:fill="DFDFDF" w:val="clear"/>
        </w:rPr>
        <w:t xml:space="preserve">   …     </w:t>
      </w:r>
      <w:r>
        <w:rPr>
          <w:b/>
          <w:bCs/>
          <w:i/>
          <w:iCs/>
          <w:shd w:fill="DFDFDF" w:val="clear"/>
        </w:rPr>
        <w:t xml:space="preserve">0 </w:t>
      </w:r>
      <w:r>
        <w:rPr>
          <w:shd w:fill="DFDFDF" w:val="clear"/>
        </w:rPr>
        <w:t xml:space="preserve"> </w:t>
      </w:r>
      <w:r>
        <w:rPr/>
        <w:t xml:space="preserve">%-ban az évközi teljesítmény, </w:t>
      </w:r>
      <w:r>
        <w:rPr>
          <w:b/>
          <w:bCs/>
          <w:i/>
          <w:iCs/>
          <w:shd w:fill="DFDFDF" w:val="clear"/>
        </w:rPr>
        <w:t xml:space="preserve">  …  100     </w:t>
      </w:r>
      <w:r>
        <w:rPr/>
        <w:t xml:space="preserve"> %-ban a vizsgán nyújtott teljesítmény alapján történik.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>Az érdemjegy megállapítása az összesített teljesítmény alapján %-os bontásban</w:t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b/>
          <w:bCs/>
        </w:rPr>
      </w:r>
    </w:p>
    <w:tbl>
      <w:tblPr>
        <w:tblStyle w:val="GridTableLight"/>
        <w:tblW w:w="5245" w:type="dxa"/>
        <w:jc w:val="left"/>
        <w:tblInd w:w="1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85 %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73 %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61 % ... 72 %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50 % ... 60 %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Normal"/>
        <w:ind w:left="851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5"/>
        </w:numPr>
        <w:rPr>
          <w:b/>
          <w:b/>
          <w:bCs/>
        </w:rPr>
      </w:pPr>
      <w:r>
        <w:rPr>
          <w:b/>
          <w:bCs/>
        </w:rPr>
        <w:t>Irodalom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>Kötelező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[1.] Irodalom.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Hallgatoknak a Teamsen feltöltött anyag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Dr. Kovács Károly :  Az Instabus EIB  épületüzemeltetési és felügyeleti rendszer</w:t>
      </w:r>
    </w:p>
    <w:p>
      <w:pPr>
        <w:pStyle w:val="Normal"/>
        <w:rPr/>
      </w:pPr>
      <w:r>
        <w:rPr>
          <w:rFonts w:cs="Calibri" w:cstheme="minorHAnsi"/>
        </w:rPr>
        <w:t xml:space="preserve">[2.] </w:t>
      </w:r>
      <w:r>
        <w:rPr/>
        <w:t>Kötelező irodalom és elérhetősége Jegyzetellátó, könyvtár</w:t>
      </w:r>
    </w:p>
    <w:p>
      <w:pPr>
        <w:pStyle w:val="Heading5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>Ajánlott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[3.] ……KNX.org Web címen elérhető idegen nyelvű anyag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[4.] ……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[5.] ……</w:t>
      </w:r>
    </w:p>
    <w:p>
      <w:pPr>
        <w:pStyle w:val="Normal"/>
        <w:spacing w:before="200" w:after="0"/>
        <w:rPr/>
      </w:pPr>
      <w:r>
        <w:rPr/>
      </w:r>
    </w:p>
    <w:sectPr>
      <w:footerReference w:type="default" r:id="rId2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10508254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Footnote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msor2Char" w:customStyle="1">
    <w:name w:val="Címsor 2 Char"/>
    <w:basedOn w:val="DefaultParagraphFont"/>
    <w:link w:val="Heading2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link w:val="Heading3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link w:val="Heading1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link w:val="Header"/>
    <w:uiPriority w:val="99"/>
    <w:qFormat/>
    <w:rsid w:val="005f7e4b"/>
    <w:rPr/>
  </w:style>
  <w:style w:type="character" w:styleId="LlbChar" w:customStyle="1">
    <w:name w:val="Élőláb Char"/>
    <w:basedOn w:val="DefaultParagraphFont"/>
    <w:link w:val="Footer"/>
    <w:uiPriority w:val="99"/>
    <w:qFormat/>
    <w:rsid w:val="005f7e4b"/>
    <w:rPr/>
  </w:style>
  <w:style w:type="character" w:styleId="Cmsor4Char" w:customStyle="1">
    <w:name w:val="Címsor 4 Char"/>
    <w:basedOn w:val="DefaultParagraphFont"/>
    <w:link w:val="Heading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link w:val="Heading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DefaultParagraphFont"/>
    <w:link w:val="Heading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DefaultParagraphFont"/>
    <w:link w:val="Heading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DefaultParagraphFont"/>
    <w:link w:val="Heading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DefaultParagraphFont"/>
    <w:link w:val="Heading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styleId="CmChar" w:customStyle="1">
    <w:name w:val="Cím Char"/>
    <w:basedOn w:val="DefaultParagraphFont"/>
    <w:link w:val="Title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styleId="AlcmChar" w:customStyle="1">
    <w:name w:val="Alcím Char"/>
    <w:basedOn w:val="DefaultParagraphFont"/>
    <w:link w:val="Subtitle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/>
      </w:pBdr>
      <w:spacing w:before="0"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AlcmChar"/>
    <w:uiPriority w:val="11"/>
    <w:qFormat/>
    <w:rsid w:val="00ce73e0"/>
    <w:pPr>
      <w:spacing w:before="0" w:after="720"/>
      <w:jc w:val="right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oSpacing">
    <w:name w:val="No Spacing"/>
    <w:link w:val="NincstrkzChar"/>
    <w:uiPriority w:val="1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 w:hanging="0"/>
    </w:pPr>
    <w:rPr>
      <w:b/>
      <w:bCs/>
      <w:i/>
      <w:i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DECC-53DE-428E-8108-C4999E85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LibreOffice/7.3.6.2$Linux_X86_64 LibreOffice_project/30$Build-2</Application>
  <AppVersion>15.0000</AppVersion>
  <Pages>5</Pages>
  <Words>975</Words>
  <Characters>6433</Characters>
  <CharactersWithSpaces>7184</CharactersWithSpaces>
  <Paragraphs>239</Paragraphs>
  <Company>PTE PMMK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2022-09-25T20:00:00Z</dcterms:created>
  <dc:creator>JAI</dc:creator>
  <dc:description/>
  <dc:language>en-US</dc:language>
  <cp:lastModifiedBy/>
  <dcterms:modified xsi:type="dcterms:W3CDTF">2022-09-27T11:01:40Z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