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rtl w:val="0"/>
        </w:rPr>
        <w:t xml:space="preserve">1.sz. Melléklet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Tantárgyi tematika és teljesítési követelmények </w:t>
        <w:br w:type="textWrapping"/>
        <w:t xml:space="preserve">2022./2023. 1. félév</w:t>
      </w:r>
    </w:p>
    <w:tbl>
      <w:tblPr>
        <w:tblStyle w:val="Table1"/>
        <w:tblW w:w="1017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2"/>
        <w:tblGridChange w:id="0">
          <w:tblGrid>
            <w:gridCol w:w="3632"/>
            <w:gridCol w:w="6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Cím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Önálló labor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IVB462MLVM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0/0/2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Villamosmérnöki BSc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levelező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félévközi jegy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ősz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Automatizálási Tanszék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Bevezető szintű mikroelektronikai tervezés CAD szoftverek segítségével.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Tárgytematika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28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A félév során a hallgatók megismerkednek a mikroelektronikai tervezésben gyakran használt CAD rendszerekkel, illetve az ilyen jellegű tervezési projektek felépítésével és lépéseivel. Mindezeket vezetett tervezési projekteken keresztül gyakorolják.</w:t>
      </w:r>
    </w:p>
    <w:p w:rsidR="00000000" w:rsidDel="00000000" w:rsidP="00000000" w:rsidRDefault="00000000" w:rsidRPr="00000000" w14:paraId="0000002A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tantárgy tartalma</w:t>
      </w:r>
    </w:p>
    <w:p w:rsidR="00000000" w:rsidDel="00000000" w:rsidP="00000000" w:rsidRDefault="00000000" w:rsidRPr="00000000" w14:paraId="0000002E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2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3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5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b w:val="0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Nyáktervező rendszerek és funkcióik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Komplett áramköri tervek részei és az egyes részekkel szemben támasztott követelmények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Tervezési ciklus és részei, iteratív tervezési módszerek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Agilis hardverfejlesztés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Tervdokumentációk készítése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46">
      <w:pPr>
        <w:ind w:left="709" w:firstLine="0"/>
        <w:rPr>
          <w:b w:val="1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7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GYAKORLAT/LABORGYAKORLAT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irodalom, </w:t>
              <w:br w:type="textWrapping"/>
              <w:t xml:space="preserve">oldalszám (-tól-ig)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Orientáció, követelmények ismertetése, Nyáktervező szoftverek általános bemutatás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Áramköri tervek szüksékes rajzok és dokumentumok, kapcsolási rajzok felépítése, nyáktervek felépítése, CAD/CAM és egyéb gyártási fájlok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Tervezési ciklus, specifikáció készítés, kapcsolási rajz és nyákterv iteratív tervezés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Házi feladat specifikációjának kiállítása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házi feladat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utolsó konzultáció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Tervbemutatás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09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0A2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dfdfdf" w:val="clear"/>
        <w:rPr/>
      </w:pPr>
      <w:r w:rsidDel="00000000" w:rsidR="00000000" w:rsidRPr="00000000">
        <w:rPr>
          <w:rtl w:val="0"/>
        </w:rPr>
        <w:t xml:space="preserve">jelenléti ív</w:t>
      </w:r>
    </w:p>
    <w:p w:rsidR="00000000" w:rsidDel="00000000" w:rsidP="00000000" w:rsidRDefault="00000000" w:rsidRPr="00000000" w14:paraId="000000A6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Számonkérések </w:t>
      </w:r>
    </w:p>
    <w:p w:rsidR="00000000" w:rsidDel="00000000" w:rsidP="00000000" w:rsidRDefault="00000000" w:rsidRPr="00000000" w14:paraId="000000A9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0AA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Félévközi jeggyel záruló tantárgy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minősítésben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69"/>
        <w:gridCol w:w="1506"/>
        <w:gridCol w:w="2125"/>
        <w:tblGridChange w:id="0">
          <w:tblGrid>
            <w:gridCol w:w="4869"/>
            <w:gridCol w:w="1506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Részarány a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720" w:hanging="360"/>
              <w:rPr>
                <w:i w:val="1"/>
                <w:color w:val="808080"/>
                <w:u w:val="none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tervezési feladat (áramköri tervek)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2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max. 10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3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4">
            <w:pPr>
              <w:ind w:left="720" w:firstLine="0"/>
              <w:rPr>
                <w:i w:val="1"/>
                <w:color w:val="80808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5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6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7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9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A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C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módja, típusa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:rsidR="00000000" w:rsidDel="00000000" w:rsidP="00000000" w:rsidRDefault="00000000" w:rsidRPr="00000000" w14:paraId="000000C0">
      <w:pPr>
        <w:shd w:fill="dfdfdf" w:val="clear"/>
        <w:rPr/>
      </w:pPr>
      <w:r w:rsidDel="00000000" w:rsidR="00000000" w:rsidRPr="00000000">
        <w:rPr>
          <w:rtl w:val="0"/>
        </w:rPr>
        <w:t xml:space="preserve">A félév során megoldottakhoz hasonló, de új tervezési feladat a 14. héten megadott témában a vizsgaidőszak első hetének vége határidővel.</w:t>
      </w:r>
    </w:p>
    <w:p w:rsidR="00000000" w:rsidDel="00000000" w:rsidP="00000000" w:rsidRDefault="00000000" w:rsidRPr="00000000" w14:paraId="000000C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kialakításának módja %-os bontásban </w:t>
      </w:r>
    </w:p>
    <w:p w:rsidR="00000000" w:rsidDel="00000000" w:rsidP="00000000" w:rsidRDefault="00000000" w:rsidRPr="00000000" w14:paraId="000000C5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Az összesített teljesítmény alapján az alábbi szerint.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4d4d4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0D3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0D4">
      <w:pPr>
        <w:ind w:left="1559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1559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1559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Irodalom</w:t>
      </w:r>
    </w:p>
    <w:p w:rsidR="00000000" w:rsidDel="00000000" w:rsidP="00000000" w:rsidRDefault="00000000" w:rsidRPr="00000000" w14:paraId="000000D8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0D9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[1.] Linear Circuit Design Handbook, Edited by Hank Zumbahlen, Published by Newnes/Elsevier, 2008, ISBN-978-0-7506-8703-4 (Also published as Basic Linear Design, Analog Devices, 2007, ISBN-0-916550-28-1)</w:t>
      </w:r>
    </w:p>
    <w:p w:rsidR="00000000" w:rsidDel="00000000" w:rsidP="00000000" w:rsidRDefault="00000000" w:rsidRPr="00000000" w14:paraId="000000D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https://www.analog.com/en/education/education-library/linear-circuit-design-handbook.html</w:t>
        </w:r>
      </w:hyperlink>
      <w:r w:rsidDel="00000000" w:rsidR="00000000" w:rsidRPr="00000000">
        <w:rPr>
          <w:rtl w:val="0"/>
        </w:rPr>
        <w:t xml:space="preserve"> (2022.09.05.)</w:t>
      </w:r>
    </w:p>
    <w:p w:rsidR="00000000" w:rsidDel="00000000" w:rsidP="00000000" w:rsidRDefault="00000000" w:rsidRPr="00000000" w14:paraId="000000DD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right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nalog.com/en/education/education-library/linear-circuit-design-handbook.htm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7f9Dld5oEw29fVlyB6zIBBRrVQ==">AMUW2mWuL58udI4tKTQljgEDk9GDegMHYDvzRHm/GBxywUkVmwj3GJDSDLmbiHjeBXjoV6DF5bU9tha7OdAesJB+ymWxSGmltLs4GfegNX6ktKkIUbsGGOktexcvo8iC+qgfYdnZOixo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</cp:coreProperties>
</file>