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1.sz. Melléklet</w:t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Ajánlott minta: „Tantárgyleírás, tantárgyi tematika és teljesítési követelmények”</w:t>
      </w:r>
    </w:p>
    <w:p w:rsidR="00000000" w:rsidDel="00000000" w:rsidP="00000000" w:rsidRDefault="00000000" w:rsidRPr="00000000" w14:paraId="00000003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Tantárgyi tematika és teljesítési követelmények </w:t>
        <w:br w:type="textWrapping"/>
        <w:t xml:space="preserve">2022/2023 első félév</w:t>
      </w:r>
    </w:p>
    <w:tbl>
      <w:tblPr>
        <w:tblStyle w:val="Table1"/>
        <w:tblW w:w="1017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1E0"/>
      </w:tblPr>
      <w:tblGrid>
        <w:gridCol w:w="3632"/>
        <w:gridCol w:w="6542"/>
        <w:tblGridChange w:id="0">
          <w:tblGrid>
            <w:gridCol w:w="3632"/>
            <w:gridCol w:w="65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Cím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Alaptörvények, egyenletek és modellek 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Tárgykód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IVB288MNVM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Heti óraszám: ea/gy/lab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2ea, 2gy, 0 lab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Kreditpont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Szak(ok)/ típus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alapszak(BSC)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Tagozat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Nappali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Követelmény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vizsga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Meghirdetés féléve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ősz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Előzetes követelmény(ek)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Oktató tanszék(ek)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Automatizálási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Tárgyfelelős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Dr. Nyitray Gergely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Oktatók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Dr. Nyitray Gergely, Kovács Attila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1"/>
        <w:shd w:fill="c7c7c7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Tárgyleírás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rövid leírása (max. 10 rövid mondat). (Neptunban: Oktatás/Tárgyak/Tárgy adatok/Alapadatok/Tárgyleírás rovat)</w:t>
      </w:r>
    </w:p>
    <w:p w:rsidR="00000000" w:rsidDel="00000000" w:rsidP="00000000" w:rsidRDefault="00000000" w:rsidRPr="00000000" w14:paraId="00000020">
      <w:pPr>
        <w:shd w:fill="dfdfdf" w:val="clear"/>
        <w:rPr>
          <w:i w:val="1"/>
        </w:rPr>
      </w:pPr>
      <w:r w:rsidDel="00000000" w:rsidR="00000000" w:rsidRPr="00000000">
        <w:rPr>
          <w:color w:val="000000"/>
          <w:rtl w:val="0"/>
        </w:rPr>
        <w:t xml:space="preserve">A kurzus egy </w:t>
      </w:r>
      <w:r w:rsidDel="00000000" w:rsidR="00000000" w:rsidRPr="00000000">
        <w:rPr>
          <w:rtl w:val="0"/>
        </w:rPr>
        <w:t xml:space="preserve">általános</w:t>
      </w:r>
      <w:r w:rsidDel="00000000" w:rsidR="00000000" w:rsidRPr="00000000">
        <w:rPr>
          <w:color w:val="000000"/>
          <w:rtl w:val="0"/>
        </w:rPr>
        <w:t xml:space="preserve"> áttekintő rész után a mechanika elméletével és problémáival foglalkozik, amelyek a következő fogalmakhoz kapcsolódnak: Kinematika, dinamika, munka, energia, teljesítmény, munkatétel, a mechanika megmaradási tételei, ütközések, merev testek forgása, rezgések, legkisebb hatás elve, Euler-Lagrange és Hamilton-egyenletek.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Tárgytematika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 ablak)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 xml:space="preserve">Az oktatás célja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Célkitűzések és a tantárgy teljesítésével elérhető tanulási eredmények megfogalmazása. </w:t>
      </w:r>
    </w:p>
    <w:p w:rsidR="00000000" w:rsidDel="00000000" w:rsidP="00000000" w:rsidRDefault="00000000" w:rsidRPr="00000000" w14:paraId="00000026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adatok/Tárgytematika/Oktatás célja rovat)</w:t>
      </w:r>
    </w:p>
    <w:p w:rsidR="00000000" w:rsidDel="00000000" w:rsidP="00000000" w:rsidRDefault="00000000" w:rsidRPr="00000000" w14:paraId="00000027">
      <w:pPr>
        <w:shd w:fill="dfdfdf" w:val="clear"/>
        <w:rPr/>
      </w:pPr>
      <w:r w:rsidDel="00000000" w:rsidR="00000000" w:rsidRPr="00000000">
        <w:rPr>
          <w:color w:val="000000"/>
          <w:rtl w:val="0"/>
        </w:rPr>
        <w:t xml:space="preserve">A hallgatók gondolkodásának, kreativitásának és </w:t>
      </w:r>
      <w:r w:rsidDel="00000000" w:rsidR="00000000" w:rsidRPr="00000000">
        <w:rPr>
          <w:rtl w:val="0"/>
        </w:rPr>
        <w:t xml:space="preserve">problémamegoldó</w:t>
      </w:r>
      <w:r w:rsidDel="00000000" w:rsidR="00000000" w:rsidRPr="00000000">
        <w:rPr>
          <w:color w:val="000000"/>
          <w:rtl w:val="0"/>
        </w:rPr>
        <w:t xml:space="preserve"> képességének fejlesztése. A logikus gondolkodás fejlesztése, a reál műveltség megalapozása, alapvető fizikai fogalmak alkalmazása egyszerűbb és összetettebb problémák megoldása során.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tantárgy tartalma</w:t>
      </w:r>
    </w:p>
    <w:p w:rsidR="00000000" w:rsidDel="00000000" w:rsidP="00000000" w:rsidRDefault="00000000" w:rsidRPr="00000000" w14:paraId="0000002A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adatok/Tárgytematika/Tantárgy tartalma rovat)</w:t>
      </w:r>
    </w:p>
    <w:p w:rsidR="00000000" w:rsidDel="00000000" w:rsidP="00000000" w:rsidRDefault="00000000" w:rsidRPr="00000000" w14:paraId="0000002B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843"/>
        <w:gridCol w:w="8505"/>
        <w:tblGridChange w:id="0">
          <w:tblGrid>
            <w:gridCol w:w="1843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Témakörök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Előadás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Bevezetés: a fizika mint tudományterület felosztása, fogalmi rendszere. Elmélet, modell, mérés, fizikai mennyiségek, mértékegységek (SI), dimenzió, dimenzióanalízis.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Kinematika: tér, idő, referencia test, vonatkoztatási rendszer, anyagi pont, sebesség, gyorsulás. Egydimenziós mozgások, pozíció-idő, sebesség-idő függvények, kezdeti feltételek, kinematikai egyenletek.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bookmarkStart w:colFirst="0" w:colLast="0" w:name="_heading=h.1fob9te" w:id="0"/>
            <w:bookmarkEnd w:id="0"/>
            <w:r w:rsidDel="00000000" w:rsidR="00000000" w:rsidRPr="00000000">
              <w:rPr>
                <w:rtl w:val="0"/>
              </w:rPr>
              <w:t xml:space="preserve">Síkmozgások:  ferde hajítás, emelkedési idő, emelkedési magasság, a hajítás távolsága, a pálya egyenlete. Szögkoordináta, szögsebesség, periódusidő szöggyorsulás. Kerületi sebesség, normál és érintő irányú gyorsulás.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Dinamika: inerciarendszer, erő, tömeg, Newton axiómái (I, II, III, IV), mozgásegyenlet, erőtörvények,  kényszerek, kötél, rúd, csiga, súrlódás-mentes felületek. Kényszer problémák megoldása.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Munka, energia, teljesítmény. A potenciális energia fogalma.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A mechanika megmaradási tételei. A mechanikai energia megmaradása, az impulzus és impulzusmomentum megmaradása.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Ütközések. Tökéletesen rugalmas ütközés: sebesség csere, visszapattanás. Az energiacsere hatékonysága. Tökéletesen rugalmatlan ütközés. Mechanikai energiaveszteség.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Merev test síkmozgása, tiszta gördülés: kerületi pontok pályagörbéje, kerületi pontok sebessége.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Őszi szünet.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Merev testek forgása. A forgási energia, tehetetlenségi nyomaték. A forgómozgás dinamikai alapegyenlete.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Kényszerekkel összekapcsolt forgó merev testek leírása.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Mechanikai rezgések: rezgések felosztása, a harmonikus rezgés, harmonikus rezgésre képes mechanikai rendszerek.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Csillapodó rezgés, kényszerrezgés, rezonancia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Bevezetés az analitikus mechanikába. A legkisebb hatás elve, a Lagrange-függvény. Egyszerűbb rendszerek leírása a Lagrange-egyenletek alapján.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Hamilton-féle kanonikus egyenletek. Néhány egyszerű rendszer leírása a Hamilton-egyenletek alapján.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gyakorlat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  <w:r w:rsidDel="00000000" w:rsidR="00000000" w:rsidRPr="00000000">
              <w:rPr>
                <w:rtl w:val="0"/>
              </w:rPr>
              <w:t xml:space="preserve"> Az előadáshoz kapcsolódó feladatok megoldása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  <w:r w:rsidDel="00000000" w:rsidR="00000000" w:rsidRPr="00000000">
              <w:rPr>
                <w:rtl w:val="0"/>
              </w:rPr>
              <w:t xml:space="preserve">Az előadáshoz kapcsolódó feladatok megoldása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  <w:r w:rsidDel="00000000" w:rsidR="00000000" w:rsidRPr="00000000">
              <w:rPr>
                <w:rtl w:val="0"/>
              </w:rPr>
              <w:t xml:space="preserve">Az előadáshoz kapcsolódó feladatok megoldása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stb.</w:t>
            </w:r>
          </w:p>
          <w:p w:rsidR="00000000" w:rsidDel="00000000" w:rsidP="00000000" w:rsidRDefault="00000000" w:rsidRPr="00000000" w14:paraId="00000053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Labor-</w:t>
            </w:r>
          </w:p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gyakorlat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stb.</w:t>
            </w:r>
          </w:p>
          <w:p w:rsidR="00000000" w:rsidDel="00000000" w:rsidP="00000000" w:rsidRDefault="00000000" w:rsidRPr="00000000" w14:paraId="0000005A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Részletes tantárgyi program és a követelmények ütemezése</w:t>
      </w:r>
    </w:p>
    <w:p w:rsidR="00000000" w:rsidDel="00000000" w:rsidP="00000000" w:rsidRDefault="00000000" w:rsidRPr="00000000" w14:paraId="0000005E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Jelezzük az oktatási szüneteket is!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11"/>
        <w:gridCol w:w="3827"/>
        <w:gridCol w:w="1985"/>
        <w:gridCol w:w="1842"/>
        <w:gridCol w:w="1985"/>
        <w:tblGridChange w:id="0">
          <w:tblGrid>
            <w:gridCol w:w="711"/>
            <w:gridCol w:w="3827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0">
            <w:pPr>
              <w:keepNext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ELŐADÁS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1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Okta-tási hét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Kötelező irodalom hivatkozás, oldalszám (-tól-ig)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Teljesítendő feladat</w:t>
              <w:br w:type="textWrapping"/>
              <w:t xml:space="preserve">(beadandó, zárthelyi, stb.)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Teljesítés ideje, határideje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A fizika fogalmi rendszere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17-50 [1]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Mozgások egy dimenzióban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51-67 [1]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Síkmozgások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68-85 és 105-121 [1]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A Newton-axiómák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123-143 és 160-172 [1]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Energia, munka, teljesítmény, súrlódás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180-192 [1]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Megmaradási tételek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292-308 [1]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Ütközések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309-317 [1]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Merev testek síkmozgása (gördülés)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364-371 [1]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Őszi szünet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Merev testek forgása I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420-433 [1]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Merev testek forgása II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434-452 [1]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Rezgőmozgás I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146-152 [1]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Rezgőmozgás II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193-201 [1]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Bevezetés az analitikus mechanikába I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27- 84 [2]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Bevezetés az analitikus mechanikába II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115- 119 [2]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04"/>
        <w:gridCol w:w="3832"/>
        <w:gridCol w:w="1985"/>
        <w:gridCol w:w="1559"/>
        <w:gridCol w:w="2268"/>
        <w:tblGridChange w:id="0">
          <w:tblGrid>
            <w:gridCol w:w="704"/>
            <w:gridCol w:w="3832"/>
            <w:gridCol w:w="1985"/>
            <w:gridCol w:w="1559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6">
            <w:pPr>
              <w:keepNext w:val="1"/>
              <w:jc w:val="left"/>
              <w:rPr>
                <w:b w:val="0"/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GYAKORLAT/LABORGYAKORLAT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Okta-tási hét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feladatgyűjtemény adott gyakorlathoz tartozó feladatainak sorszáma*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Teljesítendő feladat</w:t>
              <w:br w:type="textWrapping"/>
              <w:t xml:space="preserve">(HF)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Teljesítés ideje, határideje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Követelmények ismertetése, bevezetés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1., 2., 3.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Kinematika – grafikonok értelmezése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4., 5., 6., 12., 19.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Kinematika – hajítások, körmozgás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7., 8., 9., 11.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Dinamika – pontszerű testek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14., 15., 17., 18.,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Dinamika – pontrendszerek mozgása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16., 20., 21., 22.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Impulzustétel alkalmazása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23., 24., 25., 30., 31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Összetett feladatok megoldása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27., 28., 29.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1. ZH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gyakorlat időtartama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Őszi szünet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Kiterjedt merev testek egyensúlya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36., 37., 38., 40.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Kiterjedt merev testek mozgása I.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41., 42., 45., 47., 48.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Kiterjedt merev testek mozgása II.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49., 52., 53., 55., 56.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Összetett rendszerek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64., 65., 67., 70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2. ZH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gyakorlat időtartama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Pótlás - javítás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gyakorlat időtartama</w:t>
            </w:r>
          </w:p>
        </w:tc>
      </w:tr>
    </w:tbl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 Az ütemtervben szereplő feladatsorszámok csak iránymutatóak. Egyes gyakorlatokon szükség szerint didaktikai céllal más forrásból származó feladatok is előkerülhetnek.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Style w:val="Heading2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Számonkérési és értékelési rendszer</w:t>
      </w:r>
    </w:p>
    <w:p w:rsidR="00000000" w:rsidDel="00000000" w:rsidP="00000000" w:rsidRDefault="00000000" w:rsidRPr="00000000" w14:paraId="0000010F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adatok/Tárgytematika/Számonkérési és értékelési rendszere rovat)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Jelenléti és részvételi követelmények </w:t>
      </w:r>
    </w:p>
    <w:p w:rsidR="00000000" w:rsidDel="00000000" w:rsidP="00000000" w:rsidRDefault="00000000" w:rsidRPr="00000000" w14:paraId="00000112">
      <w:pPr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 </w:t>
      </w:r>
      <w:r w:rsidDel="00000000" w:rsidR="00000000" w:rsidRPr="00000000">
        <w:rPr>
          <w:i w:val="1"/>
          <w:sz w:val="16"/>
          <w:szCs w:val="16"/>
          <w:rtl w:val="0"/>
        </w:rPr>
        <w:t xml:space="preserve">PTE TVSz </w:t>
      </w:r>
      <w:r w:rsidDel="00000000" w:rsidR="00000000" w:rsidRPr="00000000">
        <w:rPr>
          <w:sz w:val="16"/>
          <w:szCs w:val="16"/>
          <w:rtl w:val="0"/>
        </w:rPr>
        <w:t xml:space="preserve">45.§ (2) és</w:t>
      </w:r>
      <w:r w:rsidDel="00000000" w:rsidR="00000000" w:rsidRPr="00000000">
        <w:rPr>
          <w:i w:val="1"/>
          <w:sz w:val="16"/>
          <w:szCs w:val="16"/>
          <w:rtl w:val="0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jelenlét ellenőrzésének módja </w:t>
      </w:r>
      <w:r w:rsidDel="00000000" w:rsidR="00000000" w:rsidRPr="00000000">
        <w:rPr>
          <w:i w:val="1"/>
          <w:sz w:val="16"/>
          <w:szCs w:val="16"/>
          <w:rtl w:val="0"/>
        </w:rPr>
        <w:t xml:space="preserve">(pl.: jelenléti ív / online teszt/ jegyzőkönyv, stb.)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hd w:fill="dfdfdf" w:val="clear"/>
        <w:rPr/>
      </w:pPr>
      <w:r w:rsidDel="00000000" w:rsidR="00000000" w:rsidRPr="00000000">
        <w:rPr>
          <w:rtl w:val="0"/>
        </w:rPr>
        <w:t xml:space="preserve">Jelenléti ív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Style w:val="Heading5"/>
        <w:keepNext w:val="1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Számonkérések </w:t>
      </w:r>
    </w:p>
    <w:p w:rsidR="00000000" w:rsidDel="00000000" w:rsidP="00000000" w:rsidRDefault="00000000" w:rsidRPr="00000000" w14:paraId="00000118">
      <w:pPr>
        <w:keepNext w:val="1"/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követelménytípusának megfelelő rovatok töltendők ki (félévközi jeggyel, vagy vizsgával záruló tantárgyak). A másik típus rovatai törölhetők. </w:t>
      </w:r>
    </w:p>
    <w:p w:rsidR="00000000" w:rsidDel="00000000" w:rsidP="00000000" w:rsidRDefault="00000000" w:rsidRPr="00000000" w14:paraId="00000119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140" w:lineRule="auto"/>
        <w:ind w:left="1440" w:right="1440" w:hanging="1440"/>
        <w:rPr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Félévközi jeggyel záruló tantárgy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(PTE TVSz 40§(3))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Félévközi ellenőrzések, teljesítményértékelések és részarányuk a minősítésben </w:t>
      </w:r>
      <w:r w:rsidDel="00000000" w:rsidR="00000000" w:rsidRPr="00000000">
        <w:rPr>
          <w:i w:val="1"/>
          <w:sz w:val="16"/>
          <w:szCs w:val="16"/>
          <w:rtl w:val="0"/>
        </w:rPr>
        <w:t xml:space="preserve">(A táblázat példái törlendők.)</w:t>
      </w:r>
      <w:r w:rsidDel="00000000" w:rsidR="00000000" w:rsidRPr="00000000">
        <w:rPr>
          <w:rtl w:val="0"/>
        </w:rPr>
      </w:r>
    </w:p>
    <w:tbl>
      <w:tblPr>
        <w:tblStyle w:val="Table5"/>
        <w:tblW w:w="8500.0" w:type="dxa"/>
        <w:jc w:val="left"/>
        <w:tblInd w:w="846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869"/>
        <w:gridCol w:w="1506"/>
        <w:gridCol w:w="2125"/>
        <w:tblGridChange w:id="0">
          <w:tblGrid>
            <w:gridCol w:w="4869"/>
            <w:gridCol w:w="1506"/>
            <w:gridCol w:w="21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Típus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Értékelés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Részarány a minősítésben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20">
            <w:pPr>
              <w:ind w:left="45" w:firstLine="0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1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2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23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4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5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26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7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8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29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A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B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ind w:left="1559" w:hanging="85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851" w:hanging="851"/>
        <w:rPr/>
      </w:pPr>
      <w:r w:rsidDel="00000000" w:rsidR="00000000" w:rsidRPr="00000000">
        <w:rPr>
          <w:b w:val="1"/>
          <w:i w:val="1"/>
          <w:rtl w:val="0"/>
        </w:rPr>
        <w:t xml:space="preserve">Pótlási lehetőségek módja, típusa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(PTE TVSz 47§(4))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:rsidR="00000000" w:rsidDel="00000000" w:rsidP="00000000" w:rsidRDefault="00000000" w:rsidRPr="00000000" w14:paraId="0000012F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kialakításának módja %-os bontásban </w:t>
      </w:r>
    </w:p>
    <w:p w:rsidR="00000000" w:rsidDel="00000000" w:rsidP="00000000" w:rsidRDefault="00000000" w:rsidRPr="00000000" w14:paraId="00000133">
      <w:pPr>
        <w:ind w:left="1559" w:hanging="851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Az összesített teljesítmény alapján az alábbi szerint.</w:t>
      </w:r>
    </w:p>
    <w:p w:rsidR="00000000" w:rsidDel="00000000" w:rsidP="00000000" w:rsidRDefault="00000000" w:rsidRPr="00000000" w14:paraId="00000134">
      <w:pPr>
        <w:pStyle w:val="Heading6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Érdemjegy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6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Teljesítmény %-ban kifejezve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jeles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8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jó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A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70 %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közepes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C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55 % ... 70 %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elégséges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E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... 55 %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elégtelen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0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alatt</w:t>
            </w:r>
          </w:p>
        </w:tc>
      </w:tr>
    </w:tbl>
    <w:p w:rsidR="00000000" w:rsidDel="00000000" w:rsidP="00000000" w:rsidRDefault="00000000" w:rsidRPr="00000000" w14:paraId="00000141">
      <w:pPr>
        <w:ind w:left="1559" w:hanging="851"/>
        <w:rPr/>
      </w:pPr>
      <w:r w:rsidDel="00000000" w:rsidR="00000000" w:rsidRPr="00000000">
        <w:rPr>
          <w:rtl w:val="0"/>
        </w:rPr>
        <w:t xml:space="preserve">Az egyes érdemjegyeknél megadott alsó határérték már az adott érdemjegyhez tartozik.</w:t>
      </w:r>
    </w:p>
    <w:p w:rsidR="00000000" w:rsidDel="00000000" w:rsidP="00000000" w:rsidRDefault="00000000" w:rsidRPr="00000000" w14:paraId="00000142">
      <w:pPr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140" w:lineRule="auto"/>
        <w:ind w:left="1440" w:right="1440" w:hanging="1440"/>
        <w:rPr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Vizsgával záruló tantárgy </w:t>
      </w:r>
    </w:p>
    <w:p w:rsidR="00000000" w:rsidDel="00000000" w:rsidP="00000000" w:rsidRDefault="00000000" w:rsidRPr="00000000" w14:paraId="00000143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Félévközi ellenőrzések, teljesítményértékelések és részarányuk a vizsgára bocsájtás feltételének minősítésben </w:t>
      </w:r>
    </w:p>
    <w:p w:rsidR="00000000" w:rsidDel="00000000" w:rsidP="00000000" w:rsidRDefault="00000000" w:rsidRPr="00000000" w14:paraId="00000145">
      <w:pPr>
        <w:ind w:left="1559" w:hanging="851"/>
        <w:rPr>
          <w:b w:val="1"/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(A táblázat példái törlendők.)</w:t>
      </w:r>
      <w:r w:rsidDel="00000000" w:rsidR="00000000" w:rsidRPr="00000000">
        <w:rPr>
          <w:rtl w:val="0"/>
        </w:rPr>
      </w:r>
    </w:p>
    <w:tbl>
      <w:tblPr>
        <w:tblStyle w:val="Table7"/>
        <w:tblW w:w="8500.0" w:type="dxa"/>
        <w:jc w:val="left"/>
        <w:tblInd w:w="704.0000000000001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4869"/>
        <w:gridCol w:w="1648"/>
        <w:gridCol w:w="1983"/>
        <w:tblGridChange w:id="0">
          <w:tblGrid>
            <w:gridCol w:w="4869"/>
            <w:gridCol w:w="1648"/>
            <w:gridCol w:w="198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ind w:left="851" w:hanging="85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Típus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ind w:left="851" w:hanging="85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Értékelés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  <w:t xml:space="preserve">Részarány a vizsgára bocsájtás feltételének minősítésben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4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5" w:hanging="270"/>
              <w:rPr>
                <w:i w:val="1"/>
                <w:color w:val="808080"/>
              </w:rPr>
            </w:pPr>
            <w:r w:rsidDel="00000000" w:rsidR="00000000" w:rsidRPr="00000000">
              <w:rPr>
                <w:b w:val="0"/>
                <w:i w:val="1"/>
                <w:color w:val="808080"/>
                <w:rtl w:val="0"/>
              </w:rPr>
              <w:t xml:space="preserve"> 1. ZH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4A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min 40%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4B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lásd alább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4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5" w:hanging="315"/>
              <w:rPr>
                <w:i w:val="1"/>
                <w:color w:val="808080"/>
              </w:rPr>
            </w:pPr>
            <w:r w:rsidDel="00000000" w:rsidR="00000000" w:rsidRPr="00000000">
              <w:rPr>
                <w:b w:val="0"/>
                <w:i w:val="1"/>
                <w:color w:val="808080"/>
                <w:rtl w:val="0"/>
              </w:rPr>
              <w:t xml:space="preserve"> 2. ZH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4D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min 40%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4E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lásd alább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4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5" w:hanging="315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Házi feladatok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0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össz 50%-át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1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lásd alább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5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5" w:hanging="315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3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4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ind w:left="426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aláírás megszerzésének feltétele </w:t>
      </w:r>
    </w:p>
    <w:p w:rsidR="00000000" w:rsidDel="00000000" w:rsidP="00000000" w:rsidRDefault="00000000" w:rsidRPr="00000000" w14:paraId="00000157">
      <w:pPr>
        <w:ind w:left="851" w:hanging="142.00000000000003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(Pl.:  40%-os évközi minősítés.)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hd w:fill="dfdfdf" w:val="clear"/>
        <w:rPr/>
      </w:pPr>
      <w:r w:rsidDel="00000000" w:rsidR="00000000" w:rsidRPr="00000000">
        <w:rPr>
          <w:rtl w:val="0"/>
        </w:rPr>
        <w:t xml:space="preserve">Az aláírás megszerzéséhez a következő feltételeknek együttesen kell megfelelni:</w:t>
      </w:r>
    </w:p>
    <w:p w:rsidR="00000000" w:rsidDel="00000000" w:rsidP="00000000" w:rsidRDefault="00000000" w:rsidRPr="00000000" w14:paraId="00000159">
      <w:pPr>
        <w:shd w:fill="dfdfdf" w:val="clear"/>
        <w:rPr/>
      </w:pPr>
      <w:r w:rsidDel="00000000" w:rsidR="00000000" w:rsidRPr="00000000">
        <w:rPr>
          <w:rtl w:val="0"/>
        </w:rPr>
        <w:t xml:space="preserve">•</w:t>
        <w:tab/>
        <w:t xml:space="preserve">minden ZH-n legalább 40%-os eredményt kell elérni</w:t>
      </w:r>
    </w:p>
    <w:p w:rsidR="00000000" w:rsidDel="00000000" w:rsidP="00000000" w:rsidRDefault="00000000" w:rsidRPr="00000000" w14:paraId="0000015A">
      <w:pPr>
        <w:shd w:fill="dfdfdf" w:val="clear"/>
        <w:rPr/>
      </w:pPr>
      <w:r w:rsidDel="00000000" w:rsidR="00000000" w:rsidRPr="00000000">
        <w:rPr>
          <w:rtl w:val="0"/>
        </w:rPr>
        <w:t xml:space="preserve">•</w:t>
        <w:tab/>
        <w:t xml:space="preserve">a házi feladatok minimum 50%-át teljesíteni kell</w:t>
      </w:r>
    </w:p>
    <w:p w:rsidR="00000000" w:rsidDel="00000000" w:rsidP="00000000" w:rsidRDefault="00000000" w:rsidRPr="00000000" w14:paraId="0000015B">
      <w:pPr>
        <w:shd w:fill="dfdfdf" w:val="clear"/>
        <w:rPr/>
      </w:pPr>
      <w:r w:rsidDel="00000000" w:rsidR="00000000" w:rsidRPr="00000000">
        <w:rPr>
          <w:rtl w:val="0"/>
        </w:rPr>
        <w:t xml:space="preserve">•</w:t>
        <w:tab/>
        <w:t xml:space="preserve">a ZH-k összeredménye eléri vagy meghaladja a 40 pontot</w:t>
      </w:r>
    </w:p>
    <w:p w:rsidR="00000000" w:rsidDel="00000000" w:rsidP="00000000" w:rsidRDefault="00000000" w:rsidRPr="00000000" w14:paraId="0000015C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b w:val="1"/>
          <w:i w:val="1"/>
          <w:rtl w:val="0"/>
        </w:rPr>
        <w:t xml:space="preserve">Pótlási lehetőségek az aláírás megszerzéséhez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(PTE TVSz 50§(2))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javításra, ismétlésre és pótlásra vonatkozó különös szabályokat a TVSZ általános szabályaival együttesen kell értelmezni és alkalmazni: </w:t>
      </w:r>
    </w:p>
    <w:p w:rsidR="00000000" w:rsidDel="00000000" w:rsidP="00000000" w:rsidRDefault="00000000" w:rsidRPr="00000000" w14:paraId="0000015F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érdekében. </w:t>
      </w:r>
    </w:p>
    <w:p w:rsidR="00000000" w:rsidDel="00000000" w:rsidP="00000000" w:rsidRDefault="00000000" w:rsidRPr="00000000" w14:paraId="00000160">
      <w:pPr>
        <w:shd w:fill="dfdfdf" w:val="clear"/>
        <w:rPr/>
      </w:pPr>
      <w:r w:rsidDel="00000000" w:rsidR="00000000" w:rsidRPr="00000000">
        <w:rPr>
          <w:rtl w:val="0"/>
        </w:rPr>
        <w:t xml:space="preserve">A vizsgaidőszak első hetében meghirdetésre kerül egy </w:t>
      </w:r>
      <w:r w:rsidDel="00000000" w:rsidR="00000000" w:rsidRPr="00000000">
        <w:rPr>
          <w:i w:val="1"/>
          <w:rtl w:val="0"/>
        </w:rPr>
        <w:t xml:space="preserve">Aláíráspótló Vizsga</w:t>
      </w:r>
      <w:r w:rsidDel="00000000" w:rsidR="00000000" w:rsidRPr="00000000">
        <w:rPr>
          <w:rtl w:val="0"/>
        </w:rPr>
        <w:t xml:space="preserve">. Ezen a vizsgán a tejes félév anyagából történik a számonkérés. Amennyiben a félévközi teljesítmény alapján a hallgatónak </w:t>
      </w:r>
      <w:r w:rsidDel="00000000" w:rsidR="00000000" w:rsidRPr="00000000">
        <w:rPr>
          <w:b w:val="1"/>
          <w:rtl w:val="0"/>
        </w:rPr>
        <w:t xml:space="preserve">aláírás megtagadva</w:t>
      </w:r>
      <w:r w:rsidDel="00000000" w:rsidR="00000000" w:rsidRPr="00000000">
        <w:rPr>
          <w:rtl w:val="0"/>
        </w:rPr>
        <w:t xml:space="preserve"> bejegyzés került rögzítésre, úgy ezen az alkalmon még lehetősége nyílik az aláírás megszerzésére. Az aláírás megszerzéséhez ezen a vizsgán minimum 50% elérése szükséges.</w:t>
      </w:r>
    </w:p>
    <w:p w:rsidR="00000000" w:rsidDel="00000000" w:rsidP="00000000" w:rsidRDefault="00000000" w:rsidRPr="00000000" w14:paraId="00000161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i w:val="1"/>
          <w:highlight w:val="yellow"/>
        </w:rPr>
      </w:pPr>
      <w:r w:rsidDel="00000000" w:rsidR="00000000" w:rsidRPr="00000000">
        <w:rPr>
          <w:b w:val="1"/>
          <w:i w:val="1"/>
          <w:rtl w:val="0"/>
        </w:rPr>
        <w:t xml:space="preserve">Vizsga típusa</w:t>
      </w:r>
      <w:r w:rsidDel="00000000" w:rsidR="00000000" w:rsidRPr="00000000">
        <w:rPr>
          <w:i w:val="1"/>
          <w:rtl w:val="0"/>
        </w:rPr>
        <w:t xml:space="preserve"> (írásbeli, </w:t>
      </w:r>
      <w:r w:rsidDel="00000000" w:rsidR="00000000" w:rsidRPr="00000000">
        <w:rPr>
          <w:i w:val="1"/>
          <w:u w:val="single"/>
          <w:rtl w:val="0"/>
        </w:rPr>
        <w:t xml:space="preserve">szóbeli)</w:t>
      </w:r>
      <w:r w:rsidDel="00000000" w:rsidR="00000000" w:rsidRPr="00000000">
        <w:rPr>
          <w:i w:val="1"/>
          <w:rtl w:val="0"/>
        </w:rPr>
        <w:t xml:space="preserve">:  A hallgatóknak szóbeli vizsgát kell tenniük a félév elején rendelkezésükre bocsátott tételsor alapján. Az oktató fenntartja a jogot arra, hogy vizsgán az elméleti kérdésekkel kapcsolatos feladatokból is kérdezzen.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i w:val="1"/>
          <w:highlight w:val="yellow"/>
        </w:rPr>
      </w:pPr>
      <w:bookmarkStart w:colFirst="0" w:colLast="0" w:name="_heading=h.30j0zll" w:id="2"/>
      <w:bookmarkEnd w:id="2"/>
      <w:r w:rsidDel="00000000" w:rsidR="00000000" w:rsidRPr="00000000">
        <w:rPr>
          <w:i w:val="1"/>
          <w:rtl w:val="0"/>
        </w:rPr>
        <w:t xml:space="preserve">A vizsgán a hallgatóknak a félév során kiadott tételsorból kell szóbeli vizsgát tenniük.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vizsga minimum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40 </w:t>
      </w:r>
      <w:r w:rsidDel="00000000" w:rsidR="00000000" w:rsidRPr="00000000">
        <w:rPr>
          <w:b w:val="1"/>
          <w:i w:val="1"/>
          <w:rtl w:val="0"/>
        </w:rPr>
        <w:t xml:space="preserve">%-os teljesítés esetén sikeres. </w:t>
      </w:r>
      <w:r w:rsidDel="00000000" w:rsidR="00000000" w:rsidRPr="00000000">
        <w:rPr>
          <w:i w:val="1"/>
          <w:sz w:val="16"/>
          <w:szCs w:val="16"/>
          <w:rtl w:val="0"/>
        </w:rPr>
        <w:t xml:space="preserve">(A min. 40 %-nál nem lehet több.)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1"/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kialakítása </w:t>
      </w:r>
      <w:r w:rsidDel="00000000" w:rsidR="00000000" w:rsidRPr="00000000">
        <w:rPr>
          <w:i w:val="1"/>
          <w:sz w:val="16"/>
          <w:szCs w:val="16"/>
          <w:rtl w:val="0"/>
        </w:rPr>
        <w:t xml:space="preserve">(TVSz 47§ 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708" w:firstLine="0"/>
        <w:rPr/>
      </w:pPr>
      <w:r w:rsidDel="00000000" w:rsidR="00000000" w:rsidRPr="00000000">
        <w:rPr>
          <w:b w:val="1"/>
          <w:i w:val="1"/>
          <w:shd w:fill="dfdfdf" w:val="clear"/>
          <w:rtl w:val="0"/>
        </w:rPr>
        <w:t xml:space="preserve">   10   </w:t>
      </w:r>
      <w:r w:rsidDel="00000000" w:rsidR="00000000" w:rsidRPr="00000000">
        <w:rPr>
          <w:rtl w:val="0"/>
        </w:rPr>
        <w:t xml:space="preserve">%-ban az évközi teljesítmény,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  90    </w:t>
      </w:r>
      <w:r w:rsidDel="00000000" w:rsidR="00000000" w:rsidRPr="00000000">
        <w:rPr>
          <w:rtl w:val="0"/>
        </w:rPr>
        <w:t xml:space="preserve"> %-ban a vizsgán nyújtott teljesítmény alapján történik.</w:t>
      </w:r>
    </w:p>
    <w:p w:rsidR="00000000" w:rsidDel="00000000" w:rsidP="00000000" w:rsidRDefault="00000000" w:rsidRPr="00000000" w14:paraId="0000016B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megállapítása az összesített teljesítmény alapján %-os bontásban</w:t>
      </w:r>
    </w:p>
    <w:p w:rsidR="00000000" w:rsidDel="00000000" w:rsidP="00000000" w:rsidRDefault="00000000" w:rsidRPr="00000000" w14:paraId="0000016D">
      <w:pPr>
        <w:ind w:left="851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Érdemjegy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F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Teljesítmény %-ban kifejezve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jeles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1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jó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3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70 %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közepes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5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55 % ... 70 %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elégséges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7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... 55 %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elégtelen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9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alatt</w:t>
            </w:r>
          </w:p>
        </w:tc>
      </w:tr>
    </w:tbl>
    <w:p w:rsidR="00000000" w:rsidDel="00000000" w:rsidP="00000000" w:rsidRDefault="00000000" w:rsidRPr="00000000" w14:paraId="0000017A">
      <w:pPr>
        <w:ind w:left="1559" w:hanging="851"/>
        <w:rPr/>
      </w:pPr>
      <w:r w:rsidDel="00000000" w:rsidR="00000000" w:rsidRPr="00000000">
        <w:rPr>
          <w:rtl w:val="0"/>
        </w:rPr>
        <w:t xml:space="preserve">Az egyes érdemjegyeknél megadott alsó határérték már az adott érdemjegyhez tartozik.</w:t>
      </w:r>
    </w:p>
    <w:p w:rsidR="00000000" w:rsidDel="00000000" w:rsidP="00000000" w:rsidRDefault="00000000" w:rsidRPr="00000000" w14:paraId="0000017B">
      <w:pPr>
        <w:ind w:left="851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Style w:val="Heading2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Irodalom</w:t>
      </w:r>
    </w:p>
    <w:p w:rsidR="00000000" w:rsidDel="00000000" w:rsidP="00000000" w:rsidRDefault="00000000" w:rsidRPr="00000000" w14:paraId="0000017F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Felsorolás fontossági sorrendben. (Neptunban: Oktatás/Tárgyak/Tárgy adatok/Tárgytematika/Irodalom rovat)</w:t>
      </w:r>
    </w:p>
    <w:p w:rsidR="00000000" w:rsidDel="00000000" w:rsidP="00000000" w:rsidRDefault="00000000" w:rsidRPr="00000000" w14:paraId="00000180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Kötelező irodalom és elérhetősége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[1.] Tasnádi Péter, Skrapits Lajos, Bérces György: Általános Fizika/Mechanika I. Dóm-Dialóg Campus Kiadó 2004, 2013              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ISBN 978 963 8988 91 1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[2.] Hraskó Péter Elméleti Mechanika 2004, egyetemi 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jegyzet online elérhető: https://peter.hrasko.com/files/mechanika2.pdf</w:t>
      </w:r>
    </w:p>
    <w:p w:rsidR="00000000" w:rsidDel="00000000" w:rsidP="00000000" w:rsidRDefault="00000000" w:rsidRPr="00000000" w14:paraId="00000186">
      <w:pPr>
        <w:pStyle w:val="Heading5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Ajánlott irodalom és elérhetősége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[3.] Dr. Nyitray Gergely: Fizika segédlet, online-elérhető 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[4.] Nagy Károly: Elméleti Mechanika ISBN 963-18-0352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l" w:default="1">
    <w:name w:val="Normal"/>
    <w:qFormat w:val="1"/>
    <w:rsid w:val="00CE73E0"/>
  </w:style>
  <w:style w:type="paragraph" w:styleId="Cmsor1">
    <w:name w:val="heading 1"/>
    <w:basedOn w:val="Norml"/>
    <w:next w:val="Norml"/>
    <w:link w:val="Cmsor1Char"/>
    <w:uiPriority w:val="9"/>
    <w:qFormat w:val="1"/>
    <w:rsid w:val="00CE73E0"/>
    <w:p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CE73E0"/>
    <w:pPr>
      <w:jc w:val="left"/>
      <w:outlineLvl w:val="1"/>
    </w:pPr>
    <w:rPr>
      <w:smallCaps w:val="1"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CE73E0"/>
    <w:pPr>
      <w:jc w:val="left"/>
      <w:outlineLvl w:val="2"/>
    </w:pPr>
    <w:rPr>
      <w:smallCaps w:val="1"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CE73E0"/>
    <w:pPr>
      <w:jc w:val="left"/>
      <w:outlineLvl w:val="3"/>
    </w:pPr>
    <w:rPr>
      <w:i w:val="1"/>
      <w:iCs w:val="1"/>
      <w:smallCaps w:val="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CE73E0"/>
    <w:pPr>
      <w:jc w:val="left"/>
      <w:outlineLvl w:val="4"/>
    </w:pPr>
    <w:rPr>
      <w:smallCaps w:val="1"/>
      <w:color w:val="393939" w:themeColor="accent6" w:themeShade="0000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CE73E0"/>
    <w:pPr>
      <w:jc w:val="left"/>
      <w:outlineLvl w:val="5"/>
    </w:pPr>
    <w:rPr>
      <w:smallCaps w:val="1"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CE73E0"/>
    <w:pPr>
      <w:jc w:val="left"/>
      <w:outlineLvl w:val="6"/>
    </w:pPr>
    <w:rPr>
      <w:b w:val="1"/>
      <w:bCs w:val="1"/>
      <w:smallCaps w:val="1"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CE73E0"/>
    <w:pPr>
      <w:jc w:val="left"/>
      <w:outlineLvl w:val="7"/>
    </w:pPr>
    <w:rPr>
      <w:b w:val="1"/>
      <w:bCs w:val="1"/>
      <w:i w:val="1"/>
      <w:iCs w:val="1"/>
      <w:smallCaps w:val="1"/>
      <w:color w:val="393939" w:themeColor="accent6" w:themeShade="0000BF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CE73E0"/>
    <w:pPr>
      <w:jc w:val="left"/>
      <w:outlineLvl w:val="8"/>
    </w:pPr>
    <w:rPr>
      <w:b w:val="1"/>
      <w:bCs w:val="1"/>
      <w:i w:val="1"/>
      <w:iCs w:val="1"/>
      <w:smallCaps w:val="1"/>
      <w:color w:val="262626" w:themeColor="accent6" w:themeShade="00008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link w:val="CmChar"/>
    <w:uiPriority w:val="10"/>
    <w:qFormat w:val="1"/>
    <w:rsid w:val="00CE73E0"/>
    <w:pPr>
      <w:pBdr>
        <w:top w:color="4d4d4d" w:space="1" w:sz="8" w:themeColor="accent6" w:val="single"/>
      </w:pBdr>
      <w:spacing w:after="120"/>
      <w:jc w:val="right"/>
    </w:pPr>
    <w:rPr>
      <w:smallCaps w:val="1"/>
      <w:color w:val="262626" w:themeColor="text1" w:themeTint="0000D9"/>
      <w:sz w:val="52"/>
      <w:szCs w:val="52"/>
    </w:rPr>
  </w:style>
  <w:style w:type="table" w:styleId="Rcsostblzat">
    <w:name w:val="Table Grid"/>
    <w:basedOn w:val="Normltblzat"/>
    <w:uiPriority w:val="59"/>
    <w:rsid w:val="004C2A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3A57DC"/>
    <w:pPr>
      <w:ind w:left="720"/>
      <w:contextualSpacing w:val="1"/>
    </w:pPr>
  </w:style>
  <w:style w:type="paragraph" w:styleId="Lbjegyzetszveg">
    <w:name w:val="footnote text"/>
    <w:basedOn w:val="Norml"/>
    <w:link w:val="LbjegyzetszvegChar"/>
    <w:semiHidden w:val="1"/>
    <w:rsid w:val="00AD4BC7"/>
    <w:rPr>
      <w:rFonts w:ascii="Times New Roman" w:cs="Times New Roman" w:eastAsia="Times New Roman" w:hAnsi="Times New Roman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AD4BC7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 w:val="1"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 w:val="1"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 w:val="1"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 w:val="1"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 w:val="1"/>
      <w:iCs w:val="1"/>
      <w:smallCaps w:val="1"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 w:val="1"/>
      <w:color w:val="393939" w:themeColor="accent6" w:themeShade="0000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 w:val="1"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CE73E0"/>
    <w:rPr>
      <w:b w:val="1"/>
      <w:bCs w:val="1"/>
      <w:smallCaps w:val="1"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CE73E0"/>
    <w:rPr>
      <w:b w:val="1"/>
      <w:bCs w:val="1"/>
      <w:i w:val="1"/>
      <w:iCs w:val="1"/>
      <w:smallCaps w:val="1"/>
      <w:color w:val="393939" w:themeColor="accent6" w:themeShade="0000BF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CE73E0"/>
    <w:rPr>
      <w:b w:val="1"/>
      <w:bCs w:val="1"/>
      <w:i w:val="1"/>
      <w:iCs w:val="1"/>
      <w:smallCaps w:val="1"/>
      <w:color w:val="262626" w:themeColor="accent6" w:themeShade="000080"/>
    </w:rPr>
  </w:style>
  <w:style w:type="paragraph" w:styleId="Kpalrs">
    <w:name w:val="caption"/>
    <w:basedOn w:val="Norml"/>
    <w:next w:val="Norml"/>
    <w:uiPriority w:val="35"/>
    <w:semiHidden w:val="1"/>
    <w:unhideWhenUsed w:val="1"/>
    <w:qFormat w:val="1"/>
    <w:rsid w:val="00CE73E0"/>
    <w:rPr>
      <w:b w:val="1"/>
      <w:bCs w:val="1"/>
      <w:caps w:val="1"/>
      <w:sz w:val="16"/>
      <w:szCs w:val="16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 w:val="1"/>
      <w:color w:val="262626" w:themeColor="text1" w:themeTint="0000D9"/>
      <w:sz w:val="52"/>
      <w:szCs w:val="52"/>
    </w:rPr>
  </w:style>
  <w:style w:type="paragraph" w:styleId="Alcm">
    <w:name w:val="Subtitle"/>
    <w:basedOn w:val="Norml"/>
    <w:next w:val="Norml"/>
    <w:link w:val="AlcmChar"/>
    <w:pPr>
      <w:spacing w:after="720"/>
      <w:jc w:val="right"/>
    </w:p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cstheme="majorBidi" w:eastAsiaTheme="majorEastAsia" w:hAnsiTheme="majorHAnsi"/>
    </w:rPr>
  </w:style>
  <w:style w:type="character" w:styleId="Kiemels2">
    <w:name w:val="Strong"/>
    <w:uiPriority w:val="22"/>
    <w:qFormat w:val="1"/>
    <w:rsid w:val="00CE73E0"/>
    <w:rPr>
      <w:b w:val="1"/>
      <w:bCs w:val="1"/>
      <w:color w:val="4d4d4d" w:themeColor="accent6"/>
    </w:rPr>
  </w:style>
  <w:style w:type="character" w:styleId="Kiemels">
    <w:name w:val="Emphasis"/>
    <w:uiPriority w:val="20"/>
    <w:qFormat w:val="1"/>
    <w:rsid w:val="00CE73E0"/>
    <w:rPr>
      <w:b w:val="1"/>
      <w:bCs w:val="1"/>
      <w:i w:val="1"/>
      <w:iCs w:val="1"/>
      <w:spacing w:val="10"/>
    </w:rPr>
  </w:style>
  <w:style w:type="paragraph" w:styleId="Nincstrkz">
    <w:name w:val="No Spacing"/>
    <w:link w:val="NincstrkzChar"/>
    <w:uiPriority w:val="1"/>
    <w:qFormat w:val="1"/>
    <w:rsid w:val="00CE73E0"/>
  </w:style>
  <w:style w:type="paragraph" w:styleId="Idzet">
    <w:name w:val="Quote"/>
    <w:basedOn w:val="Norml"/>
    <w:next w:val="Norml"/>
    <w:link w:val="IdzetChar"/>
    <w:uiPriority w:val="29"/>
    <w:qFormat w:val="1"/>
    <w:rsid w:val="00CE73E0"/>
    <w:rPr>
      <w:i w:val="1"/>
      <w:iCs w:val="1"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 w:val="1"/>
      <w:iCs w:val="1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CE73E0"/>
    <w:pPr>
      <w:pBdr>
        <w:top w:color="4d4d4d" w:space="1" w:sz="8" w:themeColor="accent6" w:val="single"/>
      </w:pBdr>
      <w:spacing w:after="140" w:before="140"/>
      <w:ind w:left="1440" w:right="1440"/>
    </w:pPr>
    <w:rPr>
      <w:b w:val="1"/>
      <w:bCs w:val="1"/>
      <w:i w:val="1"/>
      <w:iCs w:val="1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 w:val="1"/>
      <w:bCs w:val="1"/>
      <w:i w:val="1"/>
      <w:iCs w:val="1"/>
    </w:rPr>
  </w:style>
  <w:style w:type="character" w:styleId="Finomkiemels">
    <w:name w:val="Subtle Emphasis"/>
    <w:uiPriority w:val="19"/>
    <w:qFormat w:val="1"/>
    <w:rsid w:val="00CE73E0"/>
    <w:rPr>
      <w:i w:val="1"/>
      <w:iCs w:val="1"/>
    </w:rPr>
  </w:style>
  <w:style w:type="character" w:styleId="Erskiemels">
    <w:name w:val="Intense Emphasis"/>
    <w:uiPriority w:val="21"/>
    <w:qFormat w:val="1"/>
    <w:rsid w:val="00CE73E0"/>
    <w:rPr>
      <w:b w:val="1"/>
      <w:bCs w:val="1"/>
      <w:i w:val="1"/>
      <w:iCs w:val="1"/>
      <w:color w:val="4d4d4d" w:themeColor="accent6"/>
      <w:spacing w:val="10"/>
    </w:rPr>
  </w:style>
  <w:style w:type="character" w:styleId="Finomhivatkozs">
    <w:name w:val="Subtle Reference"/>
    <w:uiPriority w:val="31"/>
    <w:qFormat w:val="1"/>
    <w:rsid w:val="00CE73E0"/>
    <w:rPr>
      <w:b w:val="1"/>
      <w:bCs w:val="1"/>
    </w:rPr>
  </w:style>
  <w:style w:type="character" w:styleId="Ershivatkozs">
    <w:name w:val="Intense Reference"/>
    <w:uiPriority w:val="32"/>
    <w:qFormat w:val="1"/>
    <w:rsid w:val="00CE73E0"/>
    <w:rPr>
      <w:b w:val="1"/>
      <w:bCs w:val="1"/>
      <w:smallCaps w:val="1"/>
      <w:spacing w:val="5"/>
      <w:sz w:val="22"/>
      <w:szCs w:val="22"/>
      <w:u w:val="single"/>
    </w:rPr>
  </w:style>
  <w:style w:type="character" w:styleId="Knyvcme">
    <w:name w:val="Book Title"/>
    <w:uiPriority w:val="33"/>
    <w:qFormat w:val="1"/>
    <w:rsid w:val="00CE73E0"/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C17094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C17094"/>
    <w:rPr>
      <w:b w:val="1"/>
      <w:bCs w:val="1"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a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pPr>
        <w:jc w:val="right"/>
      </w:pPr>
      <w:rPr>
        <w:i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i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  <w:tblStylePr w:type="neCell">
      <w:tblPr/>
      <w:tcPr>
        <w:tcBorders>
          <w:bottom w:color="666666" w:space="0" w:sz="4" w:val="single"/>
        </w:tcBorders>
      </w:tcPr>
    </w:tblStylePr>
    <w:tblStylePr w:type="nwCell">
      <w:tblPr/>
      <w:tcPr>
        <w:tcBorders>
          <w:bottom w:color="666666" w:space="0" w:sz="4" w:val="single"/>
        </w:tcBorders>
      </w:tcPr>
    </w:tblStylePr>
    <w:tblStylePr w:type="seCell">
      <w:tblPr/>
      <w:tcPr>
        <w:tcBorders>
          <w:top w:color="666666" w:space="0" w:sz="4" w:val="single"/>
        </w:tcBorders>
      </w:tcPr>
    </w:tblStylePr>
    <w:tblStylePr w:type="swCell">
      <w:tblPr/>
      <w:tcPr>
        <w:tcBorders>
          <w:top w:color="666666" w:space="0" w:sz="4" w:val="single"/>
        </w:tcBorders>
      </w:tcPr>
    </w:tblStylePr>
  </w:style>
  <w:style w:type="table" w:styleId="a0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smallCaps w:val="1"/>
      </w:rPr>
      <w:tblPr/>
      <w:tcPr>
        <w:tcBorders>
          <w:bottom w:color="7f7f7f" w:space="0" w:sz="4" w:val="single"/>
        </w:tcBorders>
      </w:tcPr>
    </w:tblStylePr>
    <w:tblStylePr w:type="lastRow">
      <w:rPr>
        <w:b w:val="1"/>
        <w:small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smallCaps w:val="1"/>
      </w:rPr>
      <w:tblPr/>
      <w:tcPr>
        <w:tcBorders>
          <w:right w:color="7f7f7f" w:space="0" w:sz="4" w:val="single"/>
        </w:tcBorders>
      </w:tcPr>
    </w:tblStylePr>
    <w:tblStylePr w:type="lastCol">
      <w:rPr>
        <w:b w:val="1"/>
        <w:small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a1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pPr>
        <w:jc w:val="right"/>
      </w:pPr>
      <w:rPr>
        <w:i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i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  <w:tblStylePr w:type="neCell">
      <w:tblPr/>
      <w:tcPr>
        <w:tcBorders>
          <w:bottom w:color="666666" w:space="0" w:sz="4" w:val="single"/>
        </w:tcBorders>
      </w:tcPr>
    </w:tblStylePr>
    <w:tblStylePr w:type="nwCell">
      <w:tblPr/>
      <w:tcPr>
        <w:tcBorders>
          <w:bottom w:color="666666" w:space="0" w:sz="4" w:val="single"/>
        </w:tcBorders>
      </w:tcPr>
    </w:tblStylePr>
    <w:tblStylePr w:type="seCell">
      <w:tblPr/>
      <w:tcPr>
        <w:tcBorders>
          <w:top w:color="666666" w:space="0" w:sz="4" w:val="single"/>
        </w:tcBorders>
      </w:tcPr>
    </w:tblStylePr>
    <w:tblStylePr w:type="swCell">
      <w:tblPr/>
      <w:tcPr>
        <w:tcBorders>
          <w:top w:color="666666" w:space="0" w:sz="4" w:val="single"/>
        </w:tcBorders>
      </w:tcPr>
    </w:tblStylePr>
  </w:style>
  <w:style w:type="table" w:styleId="a2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pPr>
        <w:jc w:val="right"/>
      </w:pPr>
      <w:rPr>
        <w:i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i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  <w:tblStylePr w:type="neCell">
      <w:tblPr/>
      <w:tcPr>
        <w:tcBorders>
          <w:bottom w:color="666666" w:space="0" w:sz="4" w:val="single"/>
        </w:tcBorders>
      </w:tcPr>
    </w:tblStylePr>
    <w:tblStylePr w:type="nwCell">
      <w:tblPr/>
      <w:tcPr>
        <w:tcBorders>
          <w:bottom w:color="666666" w:space="0" w:sz="4" w:val="single"/>
        </w:tcBorders>
      </w:tcPr>
    </w:tblStylePr>
    <w:tblStylePr w:type="seCell">
      <w:tblPr/>
      <w:tcPr>
        <w:tcBorders>
          <w:top w:color="666666" w:space="0" w:sz="4" w:val="single"/>
        </w:tcBorders>
      </w:tcPr>
    </w:tblStylePr>
    <w:tblStylePr w:type="swCell">
      <w:tblPr/>
      <w:tcPr>
        <w:tcBorders>
          <w:top w:color="666666" w:space="0" w:sz="4" w:val="single"/>
        </w:tcBorders>
      </w:tcPr>
    </w:tblStylePr>
  </w:style>
  <w:style w:type="table" w:styleId="a3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6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720" w:lineRule="auto"/>
      <w:jc w:val="right"/>
    </w:pPr>
    <w:rPr/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ZYNUsZx+IV5eFgRTxxAB1kIaBQ==">AMUW2mU28hxXpiTvLjsmWxFmD8yd8Yv8jNAPRN8YRK6hhR+61ALtW09yOpSH4GdrElhGhBWcUbaxUrGutxFfqXVua3+tACOqsQdz3jX1JG03envFOfg2sxsYU8qIjDj0hA2j2PvMDKliSSLMKYOp53gg3lIXCEeVsQ==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2022-08-29T07:38:00Z</dcterms:created>
  <dc:creator>JAI</dc:creator>
</cp:coreProperties>
</file>