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1.sz. Melléklet</w:t>
      </w:r>
    </w:p>
    <w:p w:rsidR="00000000" w:rsidDel="00000000" w:rsidP="00000000" w:rsidRDefault="00000000" w:rsidRPr="00000000" w14:paraId="00000002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Ajánlott minta: „Tantárgyleírás, tantárgyi tematika és teljesítési követelmények”</w:t>
      </w:r>
    </w:p>
    <w:p w:rsidR="00000000" w:rsidDel="00000000" w:rsidP="00000000" w:rsidRDefault="00000000" w:rsidRPr="00000000" w14:paraId="00000003">
      <w:pPr>
        <w:pStyle w:val="Heading1"/>
        <w:shd w:fill="c7c7c7" w:val="clear"/>
        <w:rPr/>
      </w:pPr>
      <w:r w:rsidDel="00000000" w:rsidR="00000000" w:rsidRPr="00000000">
        <w:rPr>
          <w:rtl w:val="0"/>
        </w:rPr>
        <w:t xml:space="preserve">Tantárgyi tematika és teljesítési követelmények </w:t>
        <w:br w:type="textWrapping"/>
        <w:t xml:space="preserve">2022/2023 első félév</w:t>
      </w:r>
    </w:p>
    <w:tbl>
      <w:tblPr>
        <w:tblStyle w:val="Table1"/>
        <w:tblW w:w="10174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1E0"/>
      </w:tblPr>
      <w:tblGrid>
        <w:gridCol w:w="3632"/>
        <w:gridCol w:w="6542"/>
        <w:tblGridChange w:id="0">
          <w:tblGrid>
            <w:gridCol w:w="3632"/>
            <w:gridCol w:w="65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Cím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Elektromágneses terek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Tárgykód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IVB038MN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Heti óraszám: ea/gy/lab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2 előadás/2 gyakorlat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Kreditpont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Szak(ok)/ típus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Villamosmérnök (BSC)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Tagozat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Nappali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Követelmény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vizsga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Meghirdetés féléve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ősz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Előzetes követelmény(ek)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Oktató tanszék(ek)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Automatizálás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Tárgyfelelős 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Nyitray Gergely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Oktatók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Nyitray Gergely, Kovács Attila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Style w:val="Heading1"/>
        <w:shd w:fill="c7c7c7" w:val="clea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  <w:t xml:space="preserve">Tárgyleírás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A tantárgy rövid leírása (max. 10 rövid mondat). (Neptunban: Oktatás/Tárgyak/Tárgy adatok/Alapadatok/Tárgyleírás rovat)</w:t>
      </w:r>
    </w:p>
    <w:p w:rsidR="00000000" w:rsidDel="00000000" w:rsidP="00000000" w:rsidRDefault="00000000" w:rsidRPr="00000000" w14:paraId="00000020">
      <w:pPr>
        <w:shd w:fill="dfdfdf" w:val="clear"/>
        <w:rPr/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Az elektromos, mágneses és dinamikus terek tulajdonságainak megismerése. A kurzushoz kapcsolódó legfontosabb fogalmak a következők: a statikus villamos tér, elektromos térerősség, munkavégzés a statikus elektromos térben, elektromos feszültség és potenciál számítása, kapacitás, térjellemzők viselkedése szigetelőanyagban, elektromos térkomponensek viselkedése határfelületeken, a statikus elektromos tér energiája, a statikus mágneses tér, a mágneses indukció számítása, anyagok mágneses tulajdonságai, mágneses körök, az elektromágneses indukció, elektromágneses hullámok. Elektromágneses hullámok visszaverődése és  terjedése különféle feltételek mellett.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shd w:fill="c7c7c7" w:val="clear"/>
        <w:rPr/>
      </w:pPr>
      <w:r w:rsidDel="00000000" w:rsidR="00000000" w:rsidRPr="00000000">
        <w:rPr>
          <w:rtl w:val="0"/>
        </w:rPr>
        <w:t xml:space="preserve">Tárgytematika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i w:val="1"/>
          <w:sz w:val="16"/>
          <w:szCs w:val="16"/>
          <w:rtl w:val="0"/>
        </w:rPr>
        <w:t xml:space="preserve">(Neptunban: Oktatás/Tárgyak/Tárgy adatok/Tárgytematika ablak)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2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b w:val="1"/>
          <w:rtl w:val="0"/>
        </w:rPr>
        <w:t xml:space="preserve">Az oktatás célja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Célkitűzések és a tantárgy teljesítésével elérhető tanulási eredmények megfogalmazása. </w:t>
      </w:r>
    </w:p>
    <w:p w:rsidR="00000000" w:rsidDel="00000000" w:rsidP="00000000" w:rsidRDefault="00000000" w:rsidRPr="00000000" w14:paraId="00000026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(Neptunban: Oktatás/Tárgyak/Tárgy adatok/Tárgytematika/Oktatás célja rovat)</w:t>
      </w:r>
    </w:p>
    <w:p w:rsidR="00000000" w:rsidDel="00000000" w:rsidP="00000000" w:rsidRDefault="00000000" w:rsidRPr="00000000" w14:paraId="00000027">
      <w:pPr>
        <w:shd w:fill="dfdfdf" w:val="clear"/>
        <w:jc w:val="left"/>
        <w:rPr/>
      </w:pPr>
      <w:r w:rsidDel="00000000" w:rsidR="00000000" w:rsidRPr="00000000">
        <w:rPr>
          <w:rtl w:val="0"/>
        </w:rPr>
        <w:t xml:space="preserve">A villamosmérnök hallgató ismerje meg a statikus elektromos, mágneses és elektromágneses terek legfontosabb fizikai mennyiségeit, azok kapcsolatát és számítási módszereit.</w:t>
      </w:r>
    </w:p>
    <w:p w:rsidR="00000000" w:rsidDel="00000000" w:rsidP="00000000" w:rsidRDefault="00000000" w:rsidRPr="00000000" w14:paraId="00000028">
      <w:pPr>
        <w:shd w:fill="dfdfdf" w:val="clear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 tantárgy tartalma</w:t>
      </w:r>
    </w:p>
    <w:p w:rsidR="00000000" w:rsidDel="00000000" w:rsidP="00000000" w:rsidRDefault="00000000" w:rsidRPr="00000000" w14:paraId="0000002B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(Neptunban: Oktatás/Tárgyak/Tárgy adatok/Tárgytematika/Tantárgy tartalma rovat)</w:t>
      </w:r>
    </w:p>
    <w:p w:rsidR="00000000" w:rsidDel="00000000" w:rsidP="00000000" w:rsidRDefault="00000000" w:rsidRPr="00000000" w14:paraId="0000002C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8.0" w:type="dxa"/>
        <w:jc w:val="left"/>
        <w:tblInd w:w="142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1843"/>
        <w:gridCol w:w="8505"/>
        <w:tblGridChange w:id="0">
          <w:tblGrid>
            <w:gridCol w:w="1843"/>
            <w:gridCol w:w="85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keepNext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keepNext w:val="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Témakörök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Előadás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3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  <w:t xml:space="preserve">Bevezetés: az elektromágneses kölcsönhatás helye az alapvető kölcsönhatások között.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  <w:t xml:space="preserve">A sztatikus elektromos mező, a töltések megjelenési formái, Coulomb-törvény, az elektromos térerősség.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Erővonalak, elektromos fluxus, Gauss-törvény. Forráserősség. Munkavégzés az elektromos mezőben, feszültség, potenciál. Konzervatív erőtér. Örvényesség.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A kapacitás fogalma. Síkkondenzátor, gömbkondenzátor, hengerkondenzátor.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Villamos tükrözés, konform leképezés.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  <w:t xml:space="preserve">Térkomponensek viselkedése határfelületeken. Rétegzett kondenzátorok kapacitása és feszültségek  az egyes rétegekben.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  <w:t xml:space="preserve">Az elektrosztatikus mező energiája és energiasűrűsége. A klasszikus elektronsugár.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  <w:t xml:space="preserve">A Drude-Lorentz model. Termikus sebesség, drift sebesség, Joule-Lenz törvény, Wiedmann-Franz törvény értelmezése. A Hall-effektus. A termikus elektronemisszió. Az áramvezetés modern elmélete.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ŐSZI SZÜNET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  <w:t xml:space="preserve">A statikus mágneses mező. A mágneses indukció vektor fogalma. A mágneses momentum vektor, magnetométer. Erőhatások a mágneses mezőben.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  <w:t xml:space="preserve">A Biot-Savart törvény és alkalmazásai. A gerjesztési-törvény. Az anyagok mágneses tulajdonságai. Paramágneses, diamágneses és ferromágneses anyagok klasszikus modelljei. A ferromágneses hiszterézis jelensége.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  <w:t xml:space="preserve">Időben változó terek: A mozgási, nyugalmi és kölcsönös indukció jelensége és alkalmazásai.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  <w:t xml:space="preserve">Az eltolási áram. A Maxwell-egyenletek teljes rendszere. Integrális és differenciális alakban.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  <w:t xml:space="preserve">Az elektromágneses hullámok. Monokromatikus síkhullám. Hullámok áthaladása két közeg határfelületén. Reflexiós, transzmissziós együtthatók. Polarizáció. Sugárzási tér: vektor diffrakció. Időbeli véges differenciákon alapuló algoritmus (Yee-algoritmus).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  <w:t xml:space="preserve">Hullámvezetés: Planár hullámvezető. Módusok, fázis és csoportsebesség. A Transzverzális térprofil (móduskép). Levágási frekvencia. Cilindrikus hullámvezetők módusai.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gyakorlat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5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 </w:t>
            </w:r>
            <w:r w:rsidDel="00000000" w:rsidR="00000000" w:rsidRPr="00000000">
              <w:rPr>
                <w:rtl w:val="0"/>
              </w:rPr>
              <w:t xml:space="preserve">Az előadáshoz kapcsolódó feladatok megoldása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 </w:t>
            </w:r>
            <w:r w:rsidDel="00000000" w:rsidR="00000000" w:rsidRPr="00000000">
              <w:rPr>
                <w:rtl w:val="0"/>
              </w:rPr>
              <w:t xml:space="preserve">Az előadáshoz kapcsolódó feladatok megoldása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 </w:t>
            </w:r>
            <w:r w:rsidDel="00000000" w:rsidR="00000000" w:rsidRPr="00000000">
              <w:rPr>
                <w:rtl w:val="0"/>
              </w:rPr>
              <w:t xml:space="preserve">Az előadáshoz kapcsolódó feladatok megoldása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stb.</w:t>
            </w:r>
          </w:p>
          <w:p w:rsidR="00000000" w:rsidDel="00000000" w:rsidP="00000000" w:rsidRDefault="00000000" w:rsidRPr="00000000" w14:paraId="00000054">
            <w:pPr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Labor-</w:t>
            </w:r>
          </w:p>
          <w:p w:rsidR="00000000" w:rsidDel="00000000" w:rsidP="00000000" w:rsidRDefault="00000000" w:rsidRPr="00000000" w14:paraId="0000005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gyakorlat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5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stb.</w:t>
            </w:r>
          </w:p>
          <w:p w:rsidR="00000000" w:rsidDel="00000000" w:rsidP="00000000" w:rsidRDefault="00000000" w:rsidRPr="00000000" w14:paraId="0000005B">
            <w:pPr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jc w:val="center"/>
        <w:rPr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3"/>
        <w:rPr>
          <w:b w:val="1"/>
        </w:rPr>
      </w:pPr>
      <w:r w:rsidDel="00000000" w:rsidR="00000000" w:rsidRPr="00000000">
        <w:rPr>
          <w:b w:val="1"/>
          <w:rtl w:val="0"/>
        </w:rPr>
        <w:t xml:space="preserve">Részletes tantárgyi program és a követelmények ütemezése</w:t>
      </w:r>
    </w:p>
    <w:p w:rsidR="00000000" w:rsidDel="00000000" w:rsidP="00000000" w:rsidRDefault="00000000" w:rsidRPr="00000000" w14:paraId="0000005F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Jelezzük az oktatási szüneteket is!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350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711"/>
        <w:gridCol w:w="3827"/>
        <w:gridCol w:w="1985"/>
        <w:gridCol w:w="1842"/>
        <w:gridCol w:w="1985"/>
        <w:tblGridChange w:id="0">
          <w:tblGrid>
            <w:gridCol w:w="711"/>
            <w:gridCol w:w="3827"/>
            <w:gridCol w:w="1985"/>
            <w:gridCol w:w="1842"/>
            <w:gridCol w:w="1985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1">
            <w:pPr>
              <w:keepNext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ELŐADÁS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keepNext w:val="1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  <w:t xml:space="preserve">Okta-tási hét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Téma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Kötelező irodalom hivatkozás, oldalszám (-tól-ig)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Teljesítendő feladat</w:t>
              <w:br w:type="textWrapping"/>
              <w:t xml:space="preserve">(beadandó, zárthelyi, stb.)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Teljesítés ideje, határideje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Alapvető kölcsönhatások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11-13 [1]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Statikus elektromos mező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14-28 [1]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Gauss-törvény, feszültség, potenciál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29-57 [1] 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Kapacitás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58-61 [1]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Potenciál problámák megoldási módszerei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137-149 [2]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Dielektrikumok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100-115 [1]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Energia, energiasűrűség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62-69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[1]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Áramvezetés fémekben I</w:t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ŐSZI SZÜNET</w:t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Statikus mágneses mező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204-235 [1]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Anyagok mágneses tulajdonságai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266-275 [1]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Mozgási, nyugalmi és kölcsönös indukció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25-55 [4]</w:t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A Maxwell-egyenletek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26-34 [2]</w:t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Elektromágneses hullámok terjedése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499-514 [2]</w:t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Hullámvezetők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597-604 [2]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348.0" w:type="dxa"/>
        <w:jc w:val="left"/>
        <w:tblInd w:w="5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A0"/>
      </w:tblPr>
      <w:tblGrid>
        <w:gridCol w:w="704"/>
        <w:gridCol w:w="3832"/>
        <w:gridCol w:w="1985"/>
        <w:gridCol w:w="1559"/>
        <w:gridCol w:w="2268"/>
        <w:tblGridChange w:id="0">
          <w:tblGrid>
            <w:gridCol w:w="704"/>
            <w:gridCol w:w="3832"/>
            <w:gridCol w:w="1985"/>
            <w:gridCol w:w="1559"/>
            <w:gridCol w:w="2268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7">
            <w:pPr>
              <w:keepNext w:val="1"/>
              <w:jc w:val="left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1"/>
              <w:jc w:val="left"/>
              <w:rPr>
                <w:b w:val="0"/>
                <w:smallCaps w:val="1"/>
              </w:rPr>
            </w:pPr>
            <w:r w:rsidDel="00000000" w:rsidR="00000000" w:rsidRPr="00000000">
              <w:rPr>
                <w:smallCaps w:val="1"/>
                <w:rtl w:val="0"/>
              </w:rPr>
              <w:t xml:space="preserve">GYAKORLAT/LABORGYAKORLAT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Okta-tási hét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Téma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feladatgyűjtemény adott gyakorlathoz tartozó feladatainak sorszáma*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Teljesítendő feladat</w:t>
              <w:br w:type="textWrapping"/>
              <w:t xml:space="preserve">(HF)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Teljesítés ideje, határideje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Követelmények ismertetése, bevezetés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1., 2., 4.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Coulomb-erő, elektromos térerősség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6., 7., 8., 9.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Möbius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 oktatási hét vége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Potenciál, feszültség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10., 11., 12., 13., 21.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Möbius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 oktatási hét vége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Vegyes feladatok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14., 15., 17., 18., 23.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Möbius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 oktatási hét vége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Kapacitás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20., 22., 24., 25., 27.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Möbius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 oktatási hét vége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Összetett feladatok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Möbius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 oktatási hét vége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Magnetosztatika I.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39., 40., 41., 42.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Möbius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 oktatási hét vége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1. ZH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gyakorlat időtartama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Őszi szünet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Magnetosztatika II.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43., 44., 45., 49., 50.</w: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Möbius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 oktatási hét vége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Magenetosztatika III.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51., 52., 54., 56., 57.</w:t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Möbius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 oktatási hét vége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Mozgási indukció I.</w:t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59., 60., 61., 62.</w:t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Möbius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 oktatási hét vége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Mozgási indukció II.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63., 65., 69., 70., 71.</w:t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Möbius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 oktatási hét vége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2. ZH</w: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gyakorlat időtartama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Pótlás - javítás</w:t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gyakorlat időtartama</w:t>
            </w:r>
          </w:p>
        </w:tc>
      </w:tr>
    </w:tbl>
    <w:p w:rsidR="00000000" w:rsidDel="00000000" w:rsidP="00000000" w:rsidRDefault="00000000" w:rsidRPr="00000000" w14:paraId="0000010D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* Az ütemtervben szereplő feladatsorszámok csak iránymutatóak. Egyes gyakorlatokon szükség szerint didaktikai céllal más forrásból származó feladatok is előkerülhetnek.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Style w:val="Heading2"/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Számonkérési és értékelési rendszer</w:t>
      </w:r>
    </w:p>
    <w:p w:rsidR="00000000" w:rsidDel="00000000" w:rsidP="00000000" w:rsidRDefault="00000000" w:rsidRPr="00000000" w14:paraId="00000112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(Neptunban: Oktatás/Tárgyak/Tárgy adatok/Tárgytematika/Számonkérési és értékelési rendszere rovat)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Style w:val="Heading5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Jelenléti és részvételi követelmények </w:t>
      </w:r>
    </w:p>
    <w:p w:rsidR="00000000" w:rsidDel="00000000" w:rsidP="00000000" w:rsidRDefault="00000000" w:rsidRPr="00000000" w14:paraId="00000115">
      <w:pPr>
        <w:rPr>
          <w:i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 </w:t>
      </w:r>
      <w:r w:rsidDel="00000000" w:rsidR="00000000" w:rsidRPr="00000000">
        <w:rPr>
          <w:i w:val="1"/>
          <w:sz w:val="16"/>
          <w:szCs w:val="16"/>
          <w:rtl w:val="0"/>
        </w:rPr>
        <w:t xml:space="preserve">PTE TVSz </w:t>
      </w:r>
      <w:r w:rsidDel="00000000" w:rsidR="00000000" w:rsidRPr="00000000">
        <w:rPr>
          <w:sz w:val="16"/>
          <w:szCs w:val="16"/>
          <w:rtl w:val="0"/>
        </w:rPr>
        <w:t xml:space="preserve">45.§ (2) és</w:t>
      </w:r>
      <w:r w:rsidDel="00000000" w:rsidR="00000000" w:rsidRPr="00000000">
        <w:rPr>
          <w:i w:val="1"/>
          <w:sz w:val="16"/>
          <w:szCs w:val="16"/>
          <w:rtl w:val="0"/>
        </w:rPr>
        <w:t xml:space="preserve">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 jelenlét ellenőrzésének módja </w:t>
      </w:r>
      <w:r w:rsidDel="00000000" w:rsidR="00000000" w:rsidRPr="00000000">
        <w:rPr>
          <w:i w:val="1"/>
          <w:sz w:val="16"/>
          <w:szCs w:val="16"/>
          <w:rtl w:val="0"/>
        </w:rPr>
        <w:t xml:space="preserve">(pl.: jelenléti ív / online teszt/ jegyzőkönyv, stb.)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hd w:fill="dfdfdf" w:val="clear"/>
        <w:rPr/>
      </w:pPr>
      <w:r w:rsidDel="00000000" w:rsidR="00000000" w:rsidRPr="00000000">
        <w:rPr>
          <w:rtl w:val="0"/>
        </w:rPr>
        <w:t xml:space="preserve">Jelenléti ív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Style w:val="Heading5"/>
        <w:keepNext w:val="1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Számonkérések </w:t>
      </w:r>
    </w:p>
    <w:p w:rsidR="00000000" w:rsidDel="00000000" w:rsidP="00000000" w:rsidRDefault="00000000" w:rsidRPr="00000000" w14:paraId="0000011B">
      <w:pPr>
        <w:keepNext w:val="1"/>
        <w:ind w:left="708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A tantárgy követelménytípusának megfelelő rovatok töltendők ki (félévközi jeggyel, vagy vizsgával záruló tantárgyak). A másik típus rovatai törölhetők. </w:t>
      </w:r>
    </w:p>
    <w:p w:rsidR="00000000" w:rsidDel="00000000" w:rsidP="00000000" w:rsidRDefault="00000000" w:rsidRPr="00000000" w14:paraId="0000011C">
      <w:pPr>
        <w:keepNext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pBdr>
          <w:top w:color="4d4d4d" w:space="1" w:sz="8" w:val="single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140" w:lineRule="auto"/>
        <w:ind w:left="1440" w:right="1440" w:hanging="1440"/>
        <w:rPr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b w:val="1"/>
          <w:i w:val="1"/>
          <w:color w:val="000000"/>
          <w:sz w:val="22"/>
          <w:szCs w:val="22"/>
          <w:rtl w:val="0"/>
        </w:rPr>
        <w:t xml:space="preserve">Félévközi jeggyel záruló tantárgy </w:t>
      </w: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(PTE TVSz 40§(3))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ind w:left="851" w:hanging="85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Félévközi ellenőrzések, teljesítményértékelések és részarányuk a minősítésben </w:t>
      </w:r>
      <w:r w:rsidDel="00000000" w:rsidR="00000000" w:rsidRPr="00000000">
        <w:rPr>
          <w:i w:val="1"/>
          <w:sz w:val="16"/>
          <w:szCs w:val="16"/>
          <w:rtl w:val="0"/>
        </w:rPr>
        <w:t xml:space="preserve">(A táblázat példái törlendők.)</w:t>
      </w:r>
      <w:r w:rsidDel="00000000" w:rsidR="00000000" w:rsidRPr="00000000">
        <w:rPr>
          <w:rtl w:val="0"/>
        </w:rPr>
      </w:r>
    </w:p>
    <w:tbl>
      <w:tblPr>
        <w:tblStyle w:val="Table5"/>
        <w:tblW w:w="8500.0" w:type="dxa"/>
        <w:jc w:val="left"/>
        <w:tblInd w:w="846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869"/>
        <w:gridCol w:w="1506"/>
        <w:gridCol w:w="2125"/>
        <w:tblGridChange w:id="0">
          <w:tblGrid>
            <w:gridCol w:w="4869"/>
            <w:gridCol w:w="1506"/>
            <w:gridCol w:w="212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0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Típus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Értékelés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Részarány a minősítésben</w:t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123">
            <w:pPr>
              <w:ind w:left="45" w:firstLine="0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24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25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126">
            <w:pPr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27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28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129">
            <w:pPr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2A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2B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12C">
            <w:pPr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2D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2E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F">
      <w:pPr>
        <w:ind w:left="1559" w:hanging="851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ind w:left="851" w:hanging="851"/>
        <w:rPr/>
      </w:pPr>
      <w:r w:rsidDel="00000000" w:rsidR="00000000" w:rsidRPr="00000000">
        <w:rPr>
          <w:b w:val="1"/>
          <w:i w:val="1"/>
          <w:rtl w:val="0"/>
        </w:rPr>
        <w:t xml:space="preserve">Pótlási lehetőségek módja, típusa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(PTE TVSz 47§(4))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ind w:left="708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A javításra, ismétlésre és pótlásra vonatkozó különös szabályokat a TVSz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 w:rsidR="00000000" w:rsidDel="00000000" w:rsidP="00000000" w:rsidRDefault="00000000" w:rsidRPr="00000000" w14:paraId="00000132">
      <w:pPr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ind w:left="1559" w:hanging="851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ind w:left="851" w:hanging="85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Az érdemjegy kialakításának módja %-os bontásban </w:t>
      </w:r>
    </w:p>
    <w:p w:rsidR="00000000" w:rsidDel="00000000" w:rsidP="00000000" w:rsidRDefault="00000000" w:rsidRPr="00000000" w14:paraId="00000136">
      <w:pPr>
        <w:ind w:left="1559" w:hanging="851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Az összesített teljesítmény alapján az alábbi szerint.</w:t>
      </w:r>
    </w:p>
    <w:p w:rsidR="00000000" w:rsidDel="00000000" w:rsidP="00000000" w:rsidRDefault="00000000" w:rsidRPr="00000000" w14:paraId="00000137">
      <w:pPr>
        <w:pStyle w:val="Heading6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5245.0" w:type="dxa"/>
        <w:jc w:val="left"/>
        <w:tblInd w:w="1129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696"/>
        <w:gridCol w:w="3549"/>
        <w:tblGridChange w:id="0">
          <w:tblGrid>
            <w:gridCol w:w="1696"/>
            <w:gridCol w:w="354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8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Érdemjegy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9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Teljesítmény %-ban kifejezve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A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jeles (5)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B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85 % 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C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jó (4)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D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70 % ... 85 %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E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közepes (3)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F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55 % ... 70 %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0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elégséges (2)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41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40 % ... 55 %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2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elégtelen (1)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43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40 % alatt</w:t>
            </w:r>
          </w:p>
        </w:tc>
      </w:tr>
    </w:tbl>
    <w:p w:rsidR="00000000" w:rsidDel="00000000" w:rsidP="00000000" w:rsidRDefault="00000000" w:rsidRPr="00000000" w14:paraId="00000144">
      <w:pPr>
        <w:ind w:left="1559" w:hanging="851"/>
        <w:rPr/>
      </w:pPr>
      <w:r w:rsidDel="00000000" w:rsidR="00000000" w:rsidRPr="00000000">
        <w:rPr>
          <w:rtl w:val="0"/>
        </w:rPr>
        <w:t xml:space="preserve">Az egyes érdemjegyeknél megadott alsó határérték már az adott érdemjegyhez tartozik.</w:t>
      </w:r>
    </w:p>
    <w:p w:rsidR="00000000" w:rsidDel="00000000" w:rsidP="00000000" w:rsidRDefault="00000000" w:rsidRPr="00000000" w14:paraId="00000145">
      <w:pPr>
        <w:pBdr>
          <w:top w:color="4d4d4d" w:space="1" w:sz="8" w:val="single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140" w:lineRule="auto"/>
        <w:ind w:left="1440" w:right="1440" w:hanging="1440"/>
        <w:rPr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b w:val="1"/>
          <w:i w:val="1"/>
          <w:color w:val="000000"/>
          <w:sz w:val="22"/>
          <w:szCs w:val="22"/>
          <w:rtl w:val="0"/>
        </w:rPr>
        <w:t xml:space="preserve">Vizsgával záruló tantárgy </w:t>
      </w:r>
    </w:p>
    <w:p w:rsidR="00000000" w:rsidDel="00000000" w:rsidP="00000000" w:rsidRDefault="00000000" w:rsidRPr="00000000" w14:paraId="00000146">
      <w:pPr>
        <w:ind w:left="1559" w:hanging="851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ind w:left="851" w:hanging="85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Félévközi ellenőrzések, teljesítményértékelések és részarányuk a vizsgára bocsájtás feltételének minősítésben </w:t>
      </w:r>
    </w:p>
    <w:p w:rsidR="00000000" w:rsidDel="00000000" w:rsidP="00000000" w:rsidRDefault="00000000" w:rsidRPr="00000000" w14:paraId="00000148">
      <w:pPr>
        <w:ind w:left="1559" w:hanging="851"/>
        <w:rPr>
          <w:b w:val="1"/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(A táblázat példái törlendők.)</w:t>
      </w:r>
      <w:r w:rsidDel="00000000" w:rsidR="00000000" w:rsidRPr="00000000">
        <w:rPr>
          <w:rtl w:val="0"/>
        </w:rPr>
      </w:r>
    </w:p>
    <w:tbl>
      <w:tblPr>
        <w:tblStyle w:val="Table7"/>
        <w:tblW w:w="8500.0" w:type="dxa"/>
        <w:jc w:val="left"/>
        <w:tblInd w:w="704.0000000000001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4869"/>
        <w:gridCol w:w="1648"/>
        <w:gridCol w:w="1983"/>
        <w:tblGridChange w:id="0">
          <w:tblGrid>
            <w:gridCol w:w="4869"/>
            <w:gridCol w:w="1648"/>
            <w:gridCol w:w="198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9">
            <w:pPr>
              <w:ind w:left="851" w:hanging="85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Típus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ind w:left="851" w:hanging="85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Értékelés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Részarány a vizsgára bocsájtás feltételének minősítésben</w:t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14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5" w:hanging="270"/>
              <w:rPr>
                <w:i w:val="1"/>
                <w:color w:val="808080"/>
              </w:rPr>
            </w:pPr>
            <w:r w:rsidDel="00000000" w:rsidR="00000000" w:rsidRPr="00000000">
              <w:rPr>
                <w:b w:val="0"/>
                <w:i w:val="1"/>
                <w:color w:val="808080"/>
                <w:rtl w:val="0"/>
              </w:rPr>
              <w:t xml:space="preserve"> 1. ZH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4D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min 40%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4E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lásd alább</w:t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14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5" w:hanging="315"/>
              <w:rPr>
                <w:i w:val="1"/>
                <w:color w:val="808080"/>
              </w:rPr>
            </w:pPr>
            <w:r w:rsidDel="00000000" w:rsidR="00000000" w:rsidRPr="00000000">
              <w:rPr>
                <w:b w:val="0"/>
                <w:i w:val="1"/>
                <w:color w:val="808080"/>
                <w:rtl w:val="0"/>
              </w:rPr>
              <w:t xml:space="preserve"> 2. ZH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50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min 40%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51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lásd alább</w:t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15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5" w:hanging="315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Házi feladatok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53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össz 50%-át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54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lásd alább</w:t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15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5" w:hanging="315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56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57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8">
      <w:pPr>
        <w:ind w:left="426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Az aláírás megszerzésének feltétele </w:t>
      </w:r>
    </w:p>
    <w:p w:rsidR="00000000" w:rsidDel="00000000" w:rsidP="00000000" w:rsidRDefault="00000000" w:rsidRPr="00000000" w14:paraId="0000015A">
      <w:pPr>
        <w:ind w:left="851" w:hanging="142.00000000000003"/>
        <w:rPr>
          <w:i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(Pl.:  40%-os évközi minősítés.)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hd w:fill="dfdfdf" w:val="clear"/>
        <w:rPr/>
      </w:pPr>
      <w:r w:rsidDel="00000000" w:rsidR="00000000" w:rsidRPr="00000000">
        <w:rPr>
          <w:rtl w:val="0"/>
        </w:rPr>
        <w:t xml:space="preserve">Az aláírás megszerzéséhez a következő feltételeknek együttesen kell megfelelni:</w:t>
      </w:r>
    </w:p>
    <w:p w:rsidR="00000000" w:rsidDel="00000000" w:rsidP="00000000" w:rsidRDefault="00000000" w:rsidRPr="00000000" w14:paraId="0000015C">
      <w:pPr>
        <w:shd w:fill="dfdfdf" w:val="clear"/>
        <w:ind w:firstLine="720"/>
        <w:rPr/>
      </w:pPr>
      <w:r w:rsidDel="00000000" w:rsidR="00000000" w:rsidRPr="00000000">
        <w:rPr>
          <w:rtl w:val="0"/>
        </w:rPr>
        <w:t xml:space="preserve">•</w:t>
        <w:tab/>
        <w:t xml:space="preserve">minden ZH-n legalább 40%-os eredményt kell elérni</w:t>
      </w:r>
    </w:p>
    <w:p w:rsidR="00000000" w:rsidDel="00000000" w:rsidP="00000000" w:rsidRDefault="00000000" w:rsidRPr="00000000" w14:paraId="0000015D">
      <w:pPr>
        <w:shd w:fill="dfdfdf" w:val="clear"/>
        <w:ind w:firstLine="720"/>
        <w:rPr/>
      </w:pPr>
      <w:r w:rsidDel="00000000" w:rsidR="00000000" w:rsidRPr="00000000">
        <w:rPr>
          <w:rtl w:val="0"/>
        </w:rPr>
        <w:t xml:space="preserve">•</w:t>
        <w:tab/>
        <w:t xml:space="preserve">a házi feladatok minimum 50%-át teljesíteni kell</w:t>
      </w:r>
    </w:p>
    <w:p w:rsidR="00000000" w:rsidDel="00000000" w:rsidP="00000000" w:rsidRDefault="00000000" w:rsidRPr="00000000" w14:paraId="0000015E">
      <w:pPr>
        <w:shd w:fill="dfdfdf" w:val="clear"/>
        <w:ind w:firstLine="720"/>
        <w:rPr/>
      </w:pPr>
      <w:r w:rsidDel="00000000" w:rsidR="00000000" w:rsidRPr="00000000">
        <w:rPr>
          <w:rtl w:val="0"/>
        </w:rPr>
        <w:t xml:space="preserve">•</w:t>
        <w:tab/>
        <w:t xml:space="preserve">a ZH-k összeredménye eléri vagy meghaladja a 40 pontot</w:t>
      </w:r>
    </w:p>
    <w:p w:rsidR="00000000" w:rsidDel="00000000" w:rsidP="00000000" w:rsidRDefault="00000000" w:rsidRPr="00000000" w14:paraId="0000015F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ind w:left="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b w:val="1"/>
          <w:i w:val="1"/>
          <w:rtl w:val="0"/>
        </w:rPr>
        <w:t xml:space="preserve">Pótlási lehetőségek az aláírás megszerzéséhez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(PTE TVSz 50§(2))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A javításra, ismétlésre és pótlásra vonatkozó különös szabályokat a TVSZ általános szabályaival együttesen kell értelmezni és alkalmazni: </w:t>
      </w:r>
    </w:p>
    <w:p w:rsidR="00000000" w:rsidDel="00000000" w:rsidP="00000000" w:rsidRDefault="00000000" w:rsidRPr="00000000" w14:paraId="00000163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érdekében. </w:t>
      </w:r>
    </w:p>
    <w:p w:rsidR="00000000" w:rsidDel="00000000" w:rsidP="00000000" w:rsidRDefault="00000000" w:rsidRPr="00000000" w14:paraId="00000164">
      <w:pPr>
        <w:shd w:fill="dfdfdf" w:val="clear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vizsgaidőszak első hetében meghirdetésre kerül egy </w:t>
      </w:r>
      <w:r w:rsidDel="00000000" w:rsidR="00000000" w:rsidRPr="00000000">
        <w:rPr>
          <w:i w:val="1"/>
          <w:rtl w:val="0"/>
        </w:rPr>
        <w:t xml:space="preserve">Aláíráspótló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Vizsga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Ezen a vizsgán a tejes félév anyagából történik a számonkérés. Amennyiben a félévközi teljesítmény alapján a </w:t>
      </w:r>
      <w:r w:rsidDel="00000000" w:rsidR="00000000" w:rsidRPr="00000000">
        <w:rPr>
          <w:rtl w:val="0"/>
        </w:rPr>
        <w:t xml:space="preserve">hallgatónak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aláírás megtagadva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bejegyzés került rögzítésre, úgy ezen az alkalmon még lehetősége nyílik az aláírás megszerzésére. Az aláírás megszerzéséhez ezen a vizsgán minimum 50% elérése szükséges.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ind w:left="70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>
          <w:i w:val="1"/>
          <w:highlight w:val="yellow"/>
        </w:rPr>
      </w:pPr>
      <w:r w:rsidDel="00000000" w:rsidR="00000000" w:rsidRPr="00000000">
        <w:rPr>
          <w:b w:val="1"/>
          <w:i w:val="1"/>
          <w:rtl w:val="0"/>
        </w:rPr>
        <w:t xml:space="preserve">Vizsga típusa</w:t>
      </w:r>
      <w:r w:rsidDel="00000000" w:rsidR="00000000" w:rsidRPr="00000000">
        <w:rPr>
          <w:i w:val="1"/>
          <w:rtl w:val="0"/>
        </w:rPr>
        <w:t xml:space="preserve"> (írásbeli, </w:t>
      </w:r>
      <w:r w:rsidDel="00000000" w:rsidR="00000000" w:rsidRPr="00000000">
        <w:rPr>
          <w:i w:val="1"/>
          <w:u w:val="single"/>
          <w:rtl w:val="0"/>
        </w:rPr>
        <w:t xml:space="preserve">szóbeli</w:t>
      </w:r>
      <w:r w:rsidDel="00000000" w:rsidR="00000000" w:rsidRPr="00000000">
        <w:rPr>
          <w:i w:val="1"/>
          <w:rtl w:val="0"/>
        </w:rPr>
        <w:t xml:space="preserve">): A hallgatóknak szóbeli vizsgát kell tenniük a félév elején rendelkezésükre bocsátott tételsor alapján. Az oktató fenntartja a jogot arra, hogy a vizsgán az elméleti kérdésekkel kapcsolatos feladatokból is kérdezzen.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 vizsga minimum </w:t>
      </w:r>
      <w:r w:rsidDel="00000000" w:rsidR="00000000" w:rsidRPr="00000000">
        <w:rPr>
          <w:b w:val="1"/>
          <w:i w:val="1"/>
          <w:shd w:fill="dfdfdf" w:val="clear"/>
          <w:rtl w:val="0"/>
        </w:rPr>
        <w:t xml:space="preserve"> 40 </w:t>
      </w:r>
      <w:r w:rsidDel="00000000" w:rsidR="00000000" w:rsidRPr="00000000">
        <w:rPr>
          <w:b w:val="1"/>
          <w:i w:val="1"/>
          <w:rtl w:val="0"/>
        </w:rPr>
        <w:t xml:space="preserve">%-os teljesítés esetén sikeres. </w:t>
      </w:r>
      <w:r w:rsidDel="00000000" w:rsidR="00000000" w:rsidRPr="00000000">
        <w:rPr>
          <w:i w:val="1"/>
          <w:sz w:val="16"/>
          <w:szCs w:val="16"/>
          <w:rtl w:val="0"/>
        </w:rPr>
        <w:t xml:space="preserve">(A min. 40 %-nál nem lehet több.)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1"/>
        <w:ind w:left="851" w:hanging="85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Az érdemjegy kialakítása </w:t>
      </w:r>
      <w:r w:rsidDel="00000000" w:rsidR="00000000" w:rsidRPr="00000000">
        <w:rPr>
          <w:i w:val="1"/>
          <w:sz w:val="16"/>
          <w:szCs w:val="16"/>
          <w:rtl w:val="0"/>
        </w:rPr>
        <w:t xml:space="preserve">(TVSz 47§ (3))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ind w:left="708" w:firstLine="0"/>
        <w:rPr/>
      </w:pPr>
      <w:bookmarkStart w:colFirst="0" w:colLast="0" w:name="_heading=h.1fob9te" w:id="2"/>
      <w:bookmarkEnd w:id="2"/>
      <w:r w:rsidDel="00000000" w:rsidR="00000000" w:rsidRPr="00000000">
        <w:rPr>
          <w:b w:val="1"/>
          <w:i w:val="1"/>
          <w:shd w:fill="dfdfdf" w:val="clear"/>
          <w:rtl w:val="0"/>
        </w:rPr>
        <w:t xml:space="preserve">  10 </w:t>
      </w:r>
      <w:r w:rsidDel="00000000" w:rsidR="00000000" w:rsidRPr="00000000">
        <w:rPr>
          <w:rtl w:val="0"/>
        </w:rPr>
        <w:t xml:space="preserve">%-ban az évközi teljesítmény, </w:t>
      </w:r>
      <w:r w:rsidDel="00000000" w:rsidR="00000000" w:rsidRPr="00000000">
        <w:rPr>
          <w:b w:val="1"/>
          <w:i w:val="1"/>
          <w:shd w:fill="dfdfdf" w:val="clear"/>
          <w:rtl w:val="0"/>
        </w:rPr>
        <w:t xml:space="preserve"> 90 </w:t>
      </w:r>
      <w:r w:rsidDel="00000000" w:rsidR="00000000" w:rsidRPr="00000000">
        <w:rPr>
          <w:rtl w:val="0"/>
        </w:rPr>
        <w:t xml:space="preserve"> %-ban a vizsgán nyújtott teljesítmény alapján történik.</w:t>
      </w:r>
    </w:p>
    <w:p w:rsidR="00000000" w:rsidDel="00000000" w:rsidP="00000000" w:rsidRDefault="00000000" w:rsidRPr="00000000" w14:paraId="0000016C">
      <w:pPr>
        <w:ind w:left="1559" w:hanging="851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ind w:left="851" w:hanging="85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Az érdemjegy megállapítása az összesített teljesítmény alapján %-os bontásban</w:t>
      </w:r>
    </w:p>
    <w:p w:rsidR="00000000" w:rsidDel="00000000" w:rsidP="00000000" w:rsidRDefault="00000000" w:rsidRPr="00000000" w14:paraId="0000016E">
      <w:pPr>
        <w:ind w:left="851" w:hanging="851"/>
        <w:rPr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5245.0" w:type="dxa"/>
        <w:jc w:val="left"/>
        <w:tblInd w:w="1129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696"/>
        <w:gridCol w:w="3549"/>
        <w:tblGridChange w:id="0">
          <w:tblGrid>
            <w:gridCol w:w="1696"/>
            <w:gridCol w:w="354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F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Érdemjegy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70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Teljesítmény %-ban kifejezve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1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jeles (5)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72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85 % 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3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jó (4)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74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70 % ... 85 %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5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közepes (3)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76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55 % ... 70 %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7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elégséges (2)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78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40 % ... 55 %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9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elégtelen (1)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7A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40 % alatt</w:t>
            </w:r>
          </w:p>
        </w:tc>
      </w:tr>
    </w:tbl>
    <w:p w:rsidR="00000000" w:rsidDel="00000000" w:rsidP="00000000" w:rsidRDefault="00000000" w:rsidRPr="00000000" w14:paraId="0000017B">
      <w:pPr>
        <w:ind w:left="1559" w:hanging="851"/>
        <w:rPr/>
      </w:pPr>
      <w:r w:rsidDel="00000000" w:rsidR="00000000" w:rsidRPr="00000000">
        <w:rPr>
          <w:rtl w:val="0"/>
        </w:rPr>
        <w:t xml:space="preserve">Az egyes érdemjegyeknél megadott alsó határérték már az adott érdemjegyhez tartozik.</w:t>
      </w:r>
    </w:p>
    <w:p w:rsidR="00000000" w:rsidDel="00000000" w:rsidP="00000000" w:rsidRDefault="00000000" w:rsidRPr="00000000" w14:paraId="0000017C">
      <w:pPr>
        <w:ind w:left="851" w:firstLine="0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pStyle w:val="Heading2"/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Irodalom</w:t>
      </w:r>
    </w:p>
    <w:p w:rsidR="00000000" w:rsidDel="00000000" w:rsidP="00000000" w:rsidRDefault="00000000" w:rsidRPr="00000000" w14:paraId="00000180">
      <w:pPr>
        <w:ind w:left="708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Felsorolás fontossági sorrendben. (Neptunban: Oktatás/Tárgyak/Tárgy adatok/Tárgytematika/Irodalom rovat)</w:t>
      </w:r>
    </w:p>
    <w:p w:rsidR="00000000" w:rsidDel="00000000" w:rsidP="00000000" w:rsidRDefault="00000000" w:rsidRPr="00000000" w14:paraId="00000181">
      <w:pPr>
        <w:ind w:left="1559" w:hanging="851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pStyle w:val="Heading5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Kötelező irodalom és elérhetősége</w:t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  <w:t xml:space="preserve">[1.] Litz József „Elektromosságtan I.” Egyetemi jegyzet 2006</w:t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  <w:t xml:space="preserve">[2.] Simonyi Károly „Elméleti Villamosságtan”, Tankönyvkiadó Budapest, 1988</w:t>
      </w:r>
    </w:p>
    <w:p w:rsidR="00000000" w:rsidDel="00000000" w:rsidP="00000000" w:rsidRDefault="00000000" w:rsidRPr="00000000" w14:paraId="00000185">
      <w:pPr>
        <w:pStyle w:val="Heading5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pStyle w:val="Heading5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Ajánlott irodalom és elérhetősége</w:t>
      </w:r>
    </w:p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  <w:t xml:space="preserve">[3.] Richard Feynman Mai fizika 5, Műszaki Kiadó Budapest 1969</w:t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  <w:t xml:space="preserve">[4.] Richard Feynman Mai Fizika 6, Műszaki Kiadó Budapest 1969</w:t>
      </w:r>
    </w:p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before="200" w:lineRule="auto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05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125" w:hanging="360"/>
      </w:pPr>
      <w:rPr/>
    </w:lvl>
    <w:lvl w:ilvl="2">
      <w:start w:val="1"/>
      <w:numFmt w:val="lowerRoman"/>
      <w:lvlText w:val="%3."/>
      <w:lvlJc w:val="right"/>
      <w:pPr>
        <w:ind w:left="1845" w:hanging="180"/>
      </w:pPr>
      <w:rPr/>
    </w:lvl>
    <w:lvl w:ilvl="3">
      <w:start w:val="1"/>
      <w:numFmt w:val="decimal"/>
      <w:lvlText w:val="%4."/>
      <w:lvlJc w:val="left"/>
      <w:pPr>
        <w:ind w:left="2565" w:hanging="360"/>
      </w:pPr>
      <w:rPr/>
    </w:lvl>
    <w:lvl w:ilvl="4">
      <w:start w:val="1"/>
      <w:numFmt w:val="lowerLetter"/>
      <w:lvlText w:val="%5."/>
      <w:lvlJc w:val="left"/>
      <w:pPr>
        <w:ind w:left="3285" w:hanging="360"/>
      </w:pPr>
      <w:rPr/>
    </w:lvl>
    <w:lvl w:ilvl="5">
      <w:start w:val="1"/>
      <w:numFmt w:val="lowerRoman"/>
      <w:lvlText w:val="%6."/>
      <w:lvlJc w:val="right"/>
      <w:pPr>
        <w:ind w:left="4005" w:hanging="180"/>
      </w:pPr>
      <w:rPr/>
    </w:lvl>
    <w:lvl w:ilvl="6">
      <w:start w:val="1"/>
      <w:numFmt w:val="decimal"/>
      <w:lvlText w:val="%7."/>
      <w:lvlJc w:val="left"/>
      <w:pPr>
        <w:ind w:left="4725" w:hanging="360"/>
      </w:pPr>
      <w:rPr/>
    </w:lvl>
    <w:lvl w:ilvl="7">
      <w:start w:val="1"/>
      <w:numFmt w:val="lowerLetter"/>
      <w:lvlText w:val="%8."/>
      <w:lvlJc w:val="left"/>
      <w:pPr>
        <w:ind w:left="5445" w:hanging="360"/>
      </w:pPr>
      <w:rPr/>
    </w:lvl>
    <w:lvl w:ilvl="8">
      <w:start w:val="1"/>
      <w:numFmt w:val="lowerRoman"/>
      <w:lvlText w:val="%9."/>
      <w:lvlJc w:val="right"/>
      <w:pPr>
        <w:ind w:left="6165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hu-HU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300" w:lineRule="auto"/>
      <w:jc w:val="left"/>
    </w:pPr>
    <w:rPr>
      <w:smallCaps w:val="1"/>
      <w:sz w:val="32"/>
      <w:szCs w:val="32"/>
    </w:rPr>
  </w:style>
  <w:style w:type="paragraph" w:styleId="Heading2">
    <w:name w:val="heading 2"/>
    <w:basedOn w:val="Normal"/>
    <w:next w:val="Normal"/>
    <w:pPr>
      <w:jc w:val="left"/>
    </w:pPr>
    <w:rPr>
      <w:smallCaps w:val="1"/>
      <w:sz w:val="28"/>
      <w:szCs w:val="28"/>
    </w:rPr>
  </w:style>
  <w:style w:type="paragraph" w:styleId="Heading3">
    <w:name w:val="heading 3"/>
    <w:basedOn w:val="Normal"/>
    <w:next w:val="Normal"/>
    <w:pPr>
      <w:jc w:val="left"/>
    </w:pPr>
    <w:rPr>
      <w:smallCaps w:val="1"/>
      <w:sz w:val="24"/>
      <w:szCs w:val="24"/>
    </w:rPr>
  </w:style>
  <w:style w:type="paragraph" w:styleId="Heading4">
    <w:name w:val="heading 4"/>
    <w:basedOn w:val="Normal"/>
    <w:next w:val="Normal"/>
    <w:pPr>
      <w:jc w:val="left"/>
    </w:pPr>
    <w:rPr>
      <w:i w:val="1"/>
      <w:smallCaps w:val="1"/>
      <w:sz w:val="22"/>
      <w:szCs w:val="22"/>
    </w:rPr>
  </w:style>
  <w:style w:type="paragraph" w:styleId="Heading5">
    <w:name w:val="heading 5"/>
    <w:basedOn w:val="Normal"/>
    <w:next w:val="Normal"/>
    <w:pPr>
      <w:jc w:val="left"/>
    </w:pPr>
    <w:rPr>
      <w:smallCaps w:val="1"/>
      <w:color w:val="393939"/>
      <w:sz w:val="22"/>
      <w:szCs w:val="22"/>
    </w:rPr>
  </w:style>
  <w:style w:type="paragraph" w:styleId="Heading6">
    <w:name w:val="heading 6"/>
    <w:basedOn w:val="Normal"/>
    <w:next w:val="Normal"/>
    <w:pPr>
      <w:jc w:val="left"/>
    </w:pPr>
    <w:rPr>
      <w:smallCaps w:val="1"/>
      <w:color w:val="4d4d4d"/>
      <w:sz w:val="22"/>
      <w:szCs w:val="22"/>
    </w:rPr>
  </w:style>
  <w:style w:type="paragraph" w:styleId="Title">
    <w:name w:val="Title"/>
    <w:basedOn w:val="Normal"/>
    <w:next w:val="Normal"/>
    <w:pPr>
      <w:pBdr>
        <w:top w:color="4d4d4d" w:space="1" w:sz="8" w:val="single"/>
      </w:pBdr>
      <w:spacing w:after="120" w:lineRule="auto"/>
      <w:jc w:val="right"/>
    </w:pPr>
    <w:rPr>
      <w:smallCaps w:val="1"/>
      <w:color w:val="262626"/>
      <w:sz w:val="52"/>
      <w:szCs w:val="52"/>
    </w:rPr>
  </w:style>
  <w:style w:type="paragraph" w:styleId="Norml" w:default="1">
    <w:name w:val="Normal"/>
    <w:qFormat w:val="1"/>
    <w:rsid w:val="00CE73E0"/>
  </w:style>
  <w:style w:type="paragraph" w:styleId="Cmsor1">
    <w:name w:val="heading 1"/>
    <w:basedOn w:val="Norml"/>
    <w:next w:val="Norml"/>
    <w:link w:val="Cmsor1Char"/>
    <w:uiPriority w:val="9"/>
    <w:qFormat w:val="1"/>
    <w:rsid w:val="00CE73E0"/>
    <w:pPr>
      <w:spacing w:after="40" w:before="300"/>
      <w:jc w:val="left"/>
      <w:outlineLvl w:val="0"/>
    </w:pPr>
    <w:rPr>
      <w:smallCaps w:val="1"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 w:val="1"/>
    <w:qFormat w:val="1"/>
    <w:rsid w:val="00CE73E0"/>
    <w:pPr>
      <w:jc w:val="left"/>
      <w:outlineLvl w:val="1"/>
    </w:pPr>
    <w:rPr>
      <w:smallCaps w:val="1"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 w:val="1"/>
    <w:qFormat w:val="1"/>
    <w:rsid w:val="00CE73E0"/>
    <w:pPr>
      <w:jc w:val="left"/>
      <w:outlineLvl w:val="2"/>
    </w:pPr>
    <w:rPr>
      <w:smallCaps w:val="1"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 w:val="1"/>
    <w:qFormat w:val="1"/>
    <w:rsid w:val="00CE73E0"/>
    <w:pPr>
      <w:jc w:val="left"/>
      <w:outlineLvl w:val="3"/>
    </w:pPr>
    <w:rPr>
      <w:i w:val="1"/>
      <w:iCs w:val="1"/>
      <w:smallCaps w:val="1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 w:val="1"/>
    <w:qFormat w:val="1"/>
    <w:rsid w:val="00CE73E0"/>
    <w:pPr>
      <w:jc w:val="left"/>
      <w:outlineLvl w:val="4"/>
    </w:pPr>
    <w:rPr>
      <w:smallCaps w:val="1"/>
      <w:color w:val="393939" w:themeColor="accent6" w:themeShade="0000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 w:val="1"/>
    <w:qFormat w:val="1"/>
    <w:rsid w:val="00CE73E0"/>
    <w:pPr>
      <w:jc w:val="left"/>
      <w:outlineLvl w:val="5"/>
    </w:pPr>
    <w:rPr>
      <w:smallCaps w:val="1"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 w:val="1"/>
    <w:unhideWhenUsed w:val="1"/>
    <w:qFormat w:val="1"/>
    <w:rsid w:val="00CE73E0"/>
    <w:pPr>
      <w:jc w:val="left"/>
      <w:outlineLvl w:val="6"/>
    </w:pPr>
    <w:rPr>
      <w:b w:val="1"/>
      <w:bCs w:val="1"/>
      <w:smallCaps w:val="1"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 w:val="1"/>
    <w:unhideWhenUsed w:val="1"/>
    <w:qFormat w:val="1"/>
    <w:rsid w:val="00CE73E0"/>
    <w:pPr>
      <w:jc w:val="left"/>
      <w:outlineLvl w:val="7"/>
    </w:pPr>
    <w:rPr>
      <w:b w:val="1"/>
      <w:bCs w:val="1"/>
      <w:i w:val="1"/>
      <w:iCs w:val="1"/>
      <w:smallCaps w:val="1"/>
      <w:color w:val="393939" w:themeColor="accent6" w:themeShade="0000BF"/>
    </w:rPr>
  </w:style>
  <w:style w:type="paragraph" w:styleId="Cmsor9">
    <w:name w:val="heading 9"/>
    <w:basedOn w:val="Norml"/>
    <w:next w:val="Norml"/>
    <w:link w:val="Cmsor9Char"/>
    <w:uiPriority w:val="9"/>
    <w:semiHidden w:val="1"/>
    <w:unhideWhenUsed w:val="1"/>
    <w:qFormat w:val="1"/>
    <w:rsid w:val="00CE73E0"/>
    <w:pPr>
      <w:jc w:val="left"/>
      <w:outlineLvl w:val="8"/>
    </w:pPr>
    <w:rPr>
      <w:b w:val="1"/>
      <w:bCs w:val="1"/>
      <w:i w:val="1"/>
      <w:iCs w:val="1"/>
      <w:smallCaps w:val="1"/>
      <w:color w:val="262626" w:themeColor="accent6" w:themeShade="000080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m">
    <w:name w:val="Title"/>
    <w:basedOn w:val="Norml"/>
    <w:next w:val="Norml"/>
    <w:link w:val="CmChar"/>
    <w:uiPriority w:val="10"/>
    <w:qFormat w:val="1"/>
    <w:rsid w:val="00CE73E0"/>
    <w:pPr>
      <w:pBdr>
        <w:top w:color="4d4d4d" w:space="1" w:sz="8" w:themeColor="accent6" w:val="single"/>
      </w:pBdr>
      <w:spacing w:after="120"/>
      <w:jc w:val="right"/>
    </w:pPr>
    <w:rPr>
      <w:smallCaps w:val="1"/>
      <w:color w:val="262626" w:themeColor="text1" w:themeTint="0000D9"/>
      <w:sz w:val="52"/>
      <w:szCs w:val="52"/>
    </w:rPr>
  </w:style>
  <w:style w:type="table" w:styleId="Rcsostblzat">
    <w:name w:val="Table Grid"/>
    <w:basedOn w:val="Normltblzat"/>
    <w:uiPriority w:val="59"/>
    <w:rsid w:val="004C2A6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aszerbekezds">
    <w:name w:val="List Paragraph"/>
    <w:basedOn w:val="Norml"/>
    <w:uiPriority w:val="34"/>
    <w:qFormat w:val="1"/>
    <w:rsid w:val="003A57DC"/>
    <w:pPr>
      <w:ind w:left="720"/>
      <w:contextualSpacing w:val="1"/>
    </w:pPr>
  </w:style>
  <w:style w:type="paragraph" w:styleId="Lbjegyzetszveg">
    <w:name w:val="footnote text"/>
    <w:basedOn w:val="Norml"/>
    <w:link w:val="LbjegyzetszvegChar"/>
    <w:semiHidden w:val="1"/>
    <w:rsid w:val="00AD4BC7"/>
    <w:rPr>
      <w:rFonts w:ascii="Times New Roman" w:cs="Times New Roman" w:eastAsia="Times New Roman" w:hAnsi="Times New Roman"/>
    </w:rPr>
  </w:style>
  <w:style w:type="character" w:styleId="LbjegyzetszvegChar" w:customStyle="1">
    <w:name w:val="Lábjegyzetszöveg Char"/>
    <w:basedOn w:val="Bekezdsalapbettpusa"/>
    <w:link w:val="Lbjegyzetszveg"/>
    <w:semiHidden w:val="1"/>
    <w:rsid w:val="00AD4BC7"/>
    <w:rPr>
      <w:rFonts w:ascii="Times New Roman" w:cs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semiHidden w:val="1"/>
    <w:rsid w:val="00AD4BC7"/>
    <w:rPr>
      <w:vertAlign w:val="superscript"/>
    </w:rPr>
  </w:style>
  <w:style w:type="character" w:styleId="Cmsor2Char" w:customStyle="1">
    <w:name w:val="Címsor 2 Char"/>
    <w:basedOn w:val="Bekezdsalapbettpusa"/>
    <w:link w:val="Cmsor2"/>
    <w:uiPriority w:val="9"/>
    <w:rsid w:val="00CE73E0"/>
    <w:rPr>
      <w:smallCaps w:val="1"/>
      <w:spacing w:val="5"/>
      <w:sz w:val="28"/>
      <w:szCs w:val="28"/>
    </w:rPr>
  </w:style>
  <w:style w:type="character" w:styleId="Cmsor3Char" w:customStyle="1">
    <w:name w:val="Címsor 3 Char"/>
    <w:basedOn w:val="Bekezdsalapbettpusa"/>
    <w:link w:val="Cmsor3"/>
    <w:uiPriority w:val="9"/>
    <w:rsid w:val="00CE73E0"/>
    <w:rPr>
      <w:smallCaps w:val="1"/>
      <w:spacing w:val="5"/>
      <w:sz w:val="24"/>
      <w:szCs w:val="24"/>
    </w:rPr>
  </w:style>
  <w:style w:type="character" w:styleId="Cmsor1Char" w:customStyle="1">
    <w:name w:val="Címsor 1 Char"/>
    <w:basedOn w:val="Bekezdsalapbettpusa"/>
    <w:link w:val="Cmsor1"/>
    <w:uiPriority w:val="9"/>
    <w:rsid w:val="00CE73E0"/>
    <w:rPr>
      <w:smallCaps w:val="1"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 w:val="1"/>
    <w:rsid w:val="005F7E4B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 w:val="1"/>
    <w:rsid w:val="005F7E4B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uiPriority w:val="99"/>
    <w:rsid w:val="005F7E4B"/>
  </w:style>
  <w:style w:type="character" w:styleId="Cmsor4Char" w:customStyle="1">
    <w:name w:val="Címsor 4 Char"/>
    <w:basedOn w:val="Bekezdsalapbettpusa"/>
    <w:link w:val="Cmsor4"/>
    <w:uiPriority w:val="9"/>
    <w:rsid w:val="00CE73E0"/>
    <w:rPr>
      <w:i w:val="1"/>
      <w:iCs w:val="1"/>
      <w:smallCaps w:val="1"/>
      <w:spacing w:val="10"/>
      <w:sz w:val="22"/>
      <w:szCs w:val="22"/>
    </w:rPr>
  </w:style>
  <w:style w:type="character" w:styleId="Cmsor5Char" w:customStyle="1">
    <w:name w:val="Címsor 5 Char"/>
    <w:basedOn w:val="Bekezdsalapbettpusa"/>
    <w:link w:val="Cmsor5"/>
    <w:uiPriority w:val="9"/>
    <w:rsid w:val="00CE73E0"/>
    <w:rPr>
      <w:smallCaps w:val="1"/>
      <w:color w:val="393939" w:themeColor="accent6" w:themeShade="0000BF"/>
      <w:spacing w:val="10"/>
      <w:sz w:val="22"/>
      <w:szCs w:val="22"/>
    </w:rPr>
  </w:style>
  <w:style w:type="character" w:styleId="Cmsor6Char" w:customStyle="1">
    <w:name w:val="Címsor 6 Char"/>
    <w:basedOn w:val="Bekezdsalapbettpusa"/>
    <w:link w:val="Cmsor6"/>
    <w:uiPriority w:val="9"/>
    <w:rsid w:val="00CE73E0"/>
    <w:rPr>
      <w:smallCaps w:val="1"/>
      <w:color w:val="4d4d4d" w:themeColor="accent6"/>
      <w:spacing w:val="5"/>
      <w:sz w:val="22"/>
      <w:szCs w:val="22"/>
    </w:rPr>
  </w:style>
  <w:style w:type="character" w:styleId="Cmsor7Char" w:customStyle="1">
    <w:name w:val="Címsor 7 Char"/>
    <w:basedOn w:val="Bekezdsalapbettpusa"/>
    <w:link w:val="Cmsor7"/>
    <w:uiPriority w:val="9"/>
    <w:semiHidden w:val="1"/>
    <w:rsid w:val="00CE73E0"/>
    <w:rPr>
      <w:b w:val="1"/>
      <w:bCs w:val="1"/>
      <w:smallCaps w:val="1"/>
      <w:color w:val="4d4d4d" w:themeColor="accent6"/>
      <w:spacing w:val="10"/>
    </w:rPr>
  </w:style>
  <w:style w:type="character" w:styleId="Cmsor8Char" w:customStyle="1">
    <w:name w:val="Címsor 8 Char"/>
    <w:basedOn w:val="Bekezdsalapbettpusa"/>
    <w:link w:val="Cmsor8"/>
    <w:uiPriority w:val="9"/>
    <w:semiHidden w:val="1"/>
    <w:rsid w:val="00CE73E0"/>
    <w:rPr>
      <w:b w:val="1"/>
      <w:bCs w:val="1"/>
      <w:i w:val="1"/>
      <w:iCs w:val="1"/>
      <w:smallCaps w:val="1"/>
      <w:color w:val="393939" w:themeColor="accent6" w:themeShade="0000BF"/>
    </w:rPr>
  </w:style>
  <w:style w:type="character" w:styleId="Cmsor9Char" w:customStyle="1">
    <w:name w:val="Címsor 9 Char"/>
    <w:basedOn w:val="Bekezdsalapbettpusa"/>
    <w:link w:val="Cmsor9"/>
    <w:uiPriority w:val="9"/>
    <w:semiHidden w:val="1"/>
    <w:rsid w:val="00CE73E0"/>
    <w:rPr>
      <w:b w:val="1"/>
      <w:bCs w:val="1"/>
      <w:i w:val="1"/>
      <w:iCs w:val="1"/>
      <w:smallCaps w:val="1"/>
      <w:color w:val="262626" w:themeColor="accent6" w:themeShade="000080"/>
    </w:rPr>
  </w:style>
  <w:style w:type="paragraph" w:styleId="Kpalrs">
    <w:name w:val="caption"/>
    <w:basedOn w:val="Norml"/>
    <w:next w:val="Norml"/>
    <w:uiPriority w:val="35"/>
    <w:semiHidden w:val="1"/>
    <w:unhideWhenUsed w:val="1"/>
    <w:qFormat w:val="1"/>
    <w:rsid w:val="00CE73E0"/>
    <w:rPr>
      <w:b w:val="1"/>
      <w:bCs w:val="1"/>
      <w:caps w:val="1"/>
      <w:sz w:val="16"/>
      <w:szCs w:val="16"/>
    </w:rPr>
  </w:style>
  <w:style w:type="character" w:styleId="CmChar" w:customStyle="1">
    <w:name w:val="Cím Char"/>
    <w:basedOn w:val="Bekezdsalapbettpusa"/>
    <w:link w:val="Cm"/>
    <w:uiPriority w:val="10"/>
    <w:rsid w:val="00CE73E0"/>
    <w:rPr>
      <w:smallCaps w:val="1"/>
      <w:color w:val="262626" w:themeColor="text1" w:themeTint="0000D9"/>
      <w:sz w:val="52"/>
      <w:szCs w:val="52"/>
    </w:rPr>
  </w:style>
  <w:style w:type="paragraph" w:styleId="Alcm">
    <w:name w:val="Subtitle"/>
    <w:basedOn w:val="Norml"/>
    <w:next w:val="Norml"/>
    <w:link w:val="AlcmChar"/>
    <w:pPr>
      <w:spacing w:after="720"/>
      <w:jc w:val="right"/>
    </w:pPr>
  </w:style>
  <w:style w:type="character" w:styleId="AlcmChar" w:customStyle="1">
    <w:name w:val="Alcím Char"/>
    <w:basedOn w:val="Bekezdsalapbettpusa"/>
    <w:link w:val="Alcm"/>
    <w:uiPriority w:val="11"/>
    <w:rsid w:val="00CE73E0"/>
    <w:rPr>
      <w:rFonts w:asciiTheme="majorHAnsi" w:cstheme="majorBidi" w:eastAsiaTheme="majorEastAsia" w:hAnsiTheme="majorHAnsi"/>
    </w:rPr>
  </w:style>
  <w:style w:type="character" w:styleId="Kiemels2">
    <w:name w:val="Strong"/>
    <w:uiPriority w:val="22"/>
    <w:qFormat w:val="1"/>
    <w:rsid w:val="00CE73E0"/>
    <w:rPr>
      <w:b w:val="1"/>
      <w:bCs w:val="1"/>
      <w:color w:val="4d4d4d" w:themeColor="accent6"/>
    </w:rPr>
  </w:style>
  <w:style w:type="character" w:styleId="Kiemels">
    <w:name w:val="Emphasis"/>
    <w:uiPriority w:val="20"/>
    <w:qFormat w:val="1"/>
    <w:rsid w:val="00CE73E0"/>
    <w:rPr>
      <w:b w:val="1"/>
      <w:bCs w:val="1"/>
      <w:i w:val="1"/>
      <w:iCs w:val="1"/>
      <w:spacing w:val="10"/>
    </w:rPr>
  </w:style>
  <w:style w:type="paragraph" w:styleId="Nincstrkz">
    <w:name w:val="No Spacing"/>
    <w:link w:val="NincstrkzChar"/>
    <w:uiPriority w:val="1"/>
    <w:qFormat w:val="1"/>
    <w:rsid w:val="00CE73E0"/>
  </w:style>
  <w:style w:type="paragraph" w:styleId="Idzet">
    <w:name w:val="Quote"/>
    <w:basedOn w:val="Norml"/>
    <w:next w:val="Norml"/>
    <w:link w:val="IdzetChar"/>
    <w:uiPriority w:val="29"/>
    <w:qFormat w:val="1"/>
    <w:rsid w:val="00CE73E0"/>
    <w:rPr>
      <w:i w:val="1"/>
      <w:iCs w:val="1"/>
    </w:rPr>
  </w:style>
  <w:style w:type="character" w:styleId="IdzetChar" w:customStyle="1">
    <w:name w:val="Idézet Char"/>
    <w:basedOn w:val="Bekezdsalapbettpusa"/>
    <w:link w:val="Idzet"/>
    <w:uiPriority w:val="29"/>
    <w:rsid w:val="00CE73E0"/>
    <w:rPr>
      <w:i w:val="1"/>
      <w:iCs w:val="1"/>
    </w:rPr>
  </w:style>
  <w:style w:type="paragraph" w:styleId="Kiemeltidzet">
    <w:name w:val="Intense Quote"/>
    <w:basedOn w:val="Norml"/>
    <w:next w:val="Norml"/>
    <w:link w:val="KiemeltidzetChar"/>
    <w:uiPriority w:val="30"/>
    <w:qFormat w:val="1"/>
    <w:rsid w:val="00CE73E0"/>
    <w:pPr>
      <w:pBdr>
        <w:top w:color="4d4d4d" w:space="1" w:sz="8" w:themeColor="accent6" w:val="single"/>
      </w:pBdr>
      <w:spacing w:after="140" w:before="140"/>
      <w:ind w:left="1440" w:right="1440"/>
    </w:pPr>
    <w:rPr>
      <w:b w:val="1"/>
      <w:bCs w:val="1"/>
      <w:i w:val="1"/>
      <w:iCs w:val="1"/>
    </w:rPr>
  </w:style>
  <w:style w:type="character" w:styleId="KiemeltidzetChar" w:customStyle="1">
    <w:name w:val="Kiemelt idézet Char"/>
    <w:basedOn w:val="Bekezdsalapbettpusa"/>
    <w:link w:val="Kiemeltidzet"/>
    <w:uiPriority w:val="30"/>
    <w:rsid w:val="00CE73E0"/>
    <w:rPr>
      <w:b w:val="1"/>
      <w:bCs w:val="1"/>
      <w:i w:val="1"/>
      <w:iCs w:val="1"/>
    </w:rPr>
  </w:style>
  <w:style w:type="character" w:styleId="Finomkiemels">
    <w:name w:val="Subtle Emphasis"/>
    <w:uiPriority w:val="19"/>
    <w:qFormat w:val="1"/>
    <w:rsid w:val="00CE73E0"/>
    <w:rPr>
      <w:i w:val="1"/>
      <w:iCs w:val="1"/>
    </w:rPr>
  </w:style>
  <w:style w:type="character" w:styleId="Erskiemels">
    <w:name w:val="Intense Emphasis"/>
    <w:uiPriority w:val="21"/>
    <w:qFormat w:val="1"/>
    <w:rsid w:val="00CE73E0"/>
    <w:rPr>
      <w:b w:val="1"/>
      <w:bCs w:val="1"/>
      <w:i w:val="1"/>
      <w:iCs w:val="1"/>
      <w:color w:val="4d4d4d" w:themeColor="accent6"/>
      <w:spacing w:val="10"/>
    </w:rPr>
  </w:style>
  <w:style w:type="character" w:styleId="Finomhivatkozs">
    <w:name w:val="Subtle Reference"/>
    <w:uiPriority w:val="31"/>
    <w:qFormat w:val="1"/>
    <w:rsid w:val="00CE73E0"/>
    <w:rPr>
      <w:b w:val="1"/>
      <w:bCs w:val="1"/>
    </w:rPr>
  </w:style>
  <w:style w:type="character" w:styleId="Ershivatkozs">
    <w:name w:val="Intense Reference"/>
    <w:uiPriority w:val="32"/>
    <w:qFormat w:val="1"/>
    <w:rsid w:val="00CE73E0"/>
    <w:rPr>
      <w:b w:val="1"/>
      <w:bCs w:val="1"/>
      <w:smallCaps w:val="1"/>
      <w:spacing w:val="5"/>
      <w:sz w:val="22"/>
      <w:szCs w:val="22"/>
      <w:u w:val="single"/>
    </w:rPr>
  </w:style>
  <w:style w:type="character" w:styleId="Knyvcme">
    <w:name w:val="Book Title"/>
    <w:uiPriority w:val="33"/>
    <w:qFormat w:val="1"/>
    <w:rsid w:val="00CE73E0"/>
    <w:rPr>
      <w:rFonts w:asciiTheme="majorHAnsi" w:cstheme="majorBidi" w:eastAsiaTheme="majorEastAsia" w:hAnsiTheme="majorHAnsi"/>
      <w:i w:val="1"/>
      <w:iCs w:val="1"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 w:val="1"/>
    <w:unhideWhenUsed w:val="1"/>
    <w:qFormat w:val="1"/>
    <w:rsid w:val="00CE73E0"/>
    <w:pPr>
      <w:outlineLvl w:val="9"/>
    </w:pPr>
  </w:style>
  <w:style w:type="character" w:styleId="NincstrkzChar" w:customStyle="1">
    <w:name w:val="Nincs térköz Char"/>
    <w:basedOn w:val="Bekezdsalapbettpusa"/>
    <w:link w:val="Nincstrkz"/>
    <w:uiPriority w:val="1"/>
    <w:rsid w:val="003A57DC"/>
  </w:style>
  <w:style w:type="table" w:styleId="Tblzategyszer31" w:customStyle="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Tblzategyszer41" w:customStyle="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Listaszertblzat1vilgos1" w:customStyle="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aszertblzat1vilgos4jellszn1" w:customStyle="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b2b2b2" w:space="0" w:sz="4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2b2b2" w:space="0" w:sz="4" w:themeColor="accent4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e5e5" w:themeFill="accent4" w:themeFillTint="000033" w:val="clear"/>
      </w:tcPr>
    </w:tblStylePr>
    <w:tblStylePr w:type="band1Horz">
      <w:tblPr/>
      <w:tcPr>
        <w:shd w:color="auto" w:fill="e5e5e5" w:themeFill="accent4" w:themeFillTint="000033" w:val="clear"/>
      </w:tcPr>
    </w:tblStylePr>
  </w:style>
  <w:style w:type="table" w:styleId="Tblzatrcsos7tarka1" w:customStyle="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character" w:styleId="Jegyzethivatkozs">
    <w:name w:val="annotation reference"/>
    <w:basedOn w:val="Bekezdsalapbettpusa"/>
    <w:uiPriority w:val="99"/>
    <w:semiHidden w:val="1"/>
    <w:unhideWhenUsed w:val="1"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 w:val="1"/>
    <w:unhideWhenUsed w:val="1"/>
    <w:rsid w:val="00C17094"/>
  </w:style>
  <w:style w:type="character" w:styleId="JegyzetszvegChar" w:customStyle="1">
    <w:name w:val="Jegyzetszöveg Char"/>
    <w:basedOn w:val="Bekezdsalapbettpusa"/>
    <w:link w:val="Jegyzetszveg"/>
    <w:uiPriority w:val="99"/>
    <w:semiHidden w:val="1"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 w:val="1"/>
    <w:unhideWhenUsed w:val="1"/>
    <w:rsid w:val="00C17094"/>
    <w:rPr>
      <w:b w:val="1"/>
      <w:bCs w:val="1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 w:val="1"/>
    <w:rsid w:val="00C17094"/>
    <w:rPr>
      <w:b w:val="1"/>
      <w:bCs w:val="1"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a" w:customStyle="1">
    <w:basedOn w:val="TableNormal"/>
    <w:rPr>
      <w:color w:val="000000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b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pPr>
        <w:jc w:val="right"/>
      </w:pPr>
      <w:rPr>
        <w:i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i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shd w:color="auto" w:fill="cccccc" w:val="clear"/>
      </w:tcPr>
    </w:tblStylePr>
    <w:tblStylePr w:type="band1Horz">
      <w:tblPr/>
      <w:tcPr>
        <w:shd w:color="auto" w:fill="cccccc" w:val="clear"/>
      </w:tcPr>
    </w:tblStylePr>
    <w:tblStylePr w:type="neCell">
      <w:tblPr/>
      <w:tcPr>
        <w:tcBorders>
          <w:bottom w:color="666666" w:space="0" w:sz="4" w:val="single"/>
        </w:tcBorders>
      </w:tcPr>
    </w:tblStylePr>
    <w:tblStylePr w:type="nwCell">
      <w:tblPr/>
      <w:tcPr>
        <w:tcBorders>
          <w:bottom w:color="666666" w:space="0" w:sz="4" w:val="single"/>
        </w:tcBorders>
      </w:tcPr>
    </w:tblStylePr>
    <w:tblStylePr w:type="seCell">
      <w:tblPr/>
      <w:tcPr>
        <w:tcBorders>
          <w:top w:color="666666" w:space="0" w:sz="4" w:val="single"/>
        </w:tcBorders>
      </w:tcPr>
    </w:tblStylePr>
    <w:tblStylePr w:type="swCell">
      <w:tblPr/>
      <w:tcPr>
        <w:tcBorders>
          <w:top w:color="666666" w:space="0" w:sz="4" w:val="single"/>
        </w:tcBorders>
      </w:tcPr>
    </w:tblStylePr>
  </w:style>
  <w:style w:type="table" w:styleId="a0" w:customStyle="1">
    <w:basedOn w:val="TableNormal"/>
    <w:rPr>
      <w:color w:val="000000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b w:val="1"/>
        <w:smallCaps w:val="1"/>
      </w:rPr>
      <w:tblPr/>
      <w:tcPr>
        <w:tcBorders>
          <w:bottom w:color="7f7f7f" w:space="0" w:sz="4" w:val="single"/>
        </w:tcBorders>
      </w:tcPr>
    </w:tblStylePr>
    <w:tblStylePr w:type="lastRow">
      <w:rPr>
        <w:b w:val="1"/>
        <w:small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smallCaps w:val="1"/>
      </w:rPr>
      <w:tblPr/>
      <w:tcPr>
        <w:tcBorders>
          <w:right w:color="7f7f7f" w:space="0" w:sz="4" w:val="single"/>
        </w:tcBorders>
      </w:tcPr>
    </w:tblStylePr>
    <w:tblStylePr w:type="lastCol">
      <w:rPr>
        <w:b w:val="1"/>
        <w:small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val="clear"/>
      </w:tcPr>
    </w:tblStylePr>
    <w:tblStylePr w:type="band1Horz">
      <w:tblPr/>
      <w:tcPr>
        <w:shd w:color="auto" w:fill="f2f2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a1" w:customStyle="1">
    <w:basedOn w:val="TableNormal"/>
    <w:rPr>
      <w:color w:val="000000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b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pPr>
        <w:jc w:val="right"/>
      </w:pPr>
      <w:rPr>
        <w:i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i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shd w:color="auto" w:fill="cccccc" w:val="clear"/>
      </w:tcPr>
    </w:tblStylePr>
    <w:tblStylePr w:type="band1Horz">
      <w:tblPr/>
      <w:tcPr>
        <w:shd w:color="auto" w:fill="cccccc" w:val="clear"/>
      </w:tcPr>
    </w:tblStylePr>
    <w:tblStylePr w:type="neCell">
      <w:tblPr/>
      <w:tcPr>
        <w:tcBorders>
          <w:bottom w:color="666666" w:space="0" w:sz="4" w:val="single"/>
        </w:tcBorders>
      </w:tcPr>
    </w:tblStylePr>
    <w:tblStylePr w:type="nwCell">
      <w:tblPr/>
      <w:tcPr>
        <w:tcBorders>
          <w:bottom w:color="666666" w:space="0" w:sz="4" w:val="single"/>
        </w:tcBorders>
      </w:tcPr>
    </w:tblStylePr>
    <w:tblStylePr w:type="seCell">
      <w:tblPr/>
      <w:tcPr>
        <w:tcBorders>
          <w:top w:color="666666" w:space="0" w:sz="4" w:val="single"/>
        </w:tcBorders>
      </w:tcPr>
    </w:tblStylePr>
    <w:tblStylePr w:type="swCell">
      <w:tblPr/>
      <w:tcPr>
        <w:tcBorders>
          <w:top w:color="666666" w:space="0" w:sz="4" w:val="single"/>
        </w:tcBorders>
      </w:tcPr>
    </w:tblStylePr>
  </w:style>
  <w:style w:type="table" w:styleId="a2" w:customStyle="1">
    <w:basedOn w:val="TableNormal"/>
    <w:rPr>
      <w:color w:val="000000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b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pPr>
        <w:jc w:val="right"/>
      </w:pPr>
      <w:rPr>
        <w:i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i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shd w:color="auto" w:fill="cccccc" w:val="clear"/>
      </w:tcPr>
    </w:tblStylePr>
    <w:tblStylePr w:type="band1Horz">
      <w:tblPr/>
      <w:tcPr>
        <w:shd w:color="auto" w:fill="cccccc" w:val="clear"/>
      </w:tcPr>
    </w:tblStylePr>
    <w:tblStylePr w:type="neCell">
      <w:tblPr/>
      <w:tcPr>
        <w:tcBorders>
          <w:bottom w:color="666666" w:space="0" w:sz="4" w:val="single"/>
        </w:tcBorders>
      </w:tcPr>
    </w:tblStylePr>
    <w:tblStylePr w:type="nwCell">
      <w:tblPr/>
      <w:tcPr>
        <w:tcBorders>
          <w:bottom w:color="666666" w:space="0" w:sz="4" w:val="single"/>
        </w:tcBorders>
      </w:tcPr>
    </w:tblStylePr>
    <w:tblStylePr w:type="seCell">
      <w:tblPr/>
      <w:tcPr>
        <w:tcBorders>
          <w:top w:color="666666" w:space="0" w:sz="4" w:val="single"/>
        </w:tcBorders>
      </w:tcPr>
    </w:tblStylePr>
    <w:tblStylePr w:type="swCell">
      <w:tblPr/>
      <w:tcPr>
        <w:tcBorders>
          <w:top w:color="666666" w:space="0" w:sz="4" w:val="single"/>
        </w:tcBorders>
      </w:tcPr>
    </w:tblStylePr>
  </w:style>
  <w:style w:type="table" w:styleId="a3" w:customStyle="1">
    <w:basedOn w:val="TableNormal"/>
    <w:rPr>
      <w:color w:val="00000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rPr>
      <w:color w:val="00000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rPr>
      <w:color w:val="000000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b w:val="1"/>
      </w:rPr>
      <w:tblPr/>
      <w:tcPr>
        <w:tcBorders>
          <w:bottom w:color="666666" w:space="0" w:sz="12" w:val="single"/>
        </w:tcBorders>
      </w:tcPr>
    </w:tblStylePr>
    <w:tblStylePr w:type="lastRow">
      <w:rPr>
        <w:b w:val="1"/>
      </w:rPr>
      <w:tblPr/>
      <w:tcPr>
        <w:tcBorders>
          <w:top w:color="666666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</w:style>
  <w:style w:type="table" w:styleId="a6" w:customStyle="1">
    <w:basedOn w:val="TableNormal"/>
    <w:rPr>
      <w:color w:val="00000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Tblzatrcsos7tarka11" w:customStyle="1">
    <w:name w:val="Táblázat (rácsos) 7 – tarka11"/>
    <w:basedOn w:val="Normltblzat"/>
    <w:uiPriority w:val="52"/>
    <w:rsid w:val="00C21471"/>
    <w:rPr>
      <w:rFonts w:asciiTheme="minorHAnsi" w:cstheme="minorBidi" w:eastAsiaTheme="minorEastAsia" w:hAnsiTheme="minorHAnsi"/>
      <w:color w:val="000000" w:themeColor="text1"/>
      <w:lang w:eastAsia="en-US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paragraph" w:styleId="Subtitle">
    <w:name w:val="Subtitle"/>
    <w:basedOn w:val="Normal"/>
    <w:next w:val="Normal"/>
    <w:pPr>
      <w:spacing w:after="720" w:lineRule="auto"/>
      <w:jc w:val="right"/>
    </w:pPr>
    <w:rPr/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666666" w:space="0" w:sz="4" w:val="single"/>
        </w:tcBorders>
      </w:tcPr>
    </w:tblStylePr>
    <w:tblStylePr w:type="nwCell">
      <w:tcPr>
        <w:tcBorders>
          <w:bottom w:color="666666" w:space="0" w:sz="4" w:val="single"/>
        </w:tcBorders>
      </w:tcPr>
    </w:tblStylePr>
    <w:tblStylePr w:type="seCell">
      <w:tcPr>
        <w:tcBorders>
          <w:top w:color="666666" w:space="0" w:sz="4" w:val="single"/>
        </w:tcBorders>
      </w:tcPr>
    </w:tblStylePr>
    <w:tblStylePr w:type="swCell">
      <w:tcPr>
        <w:tcBorders>
          <w:top w:color="666666" w:space="0" w:sz="4" w:val="single"/>
        </w:tcBorders>
      </w:tcPr>
    </w:tblStyle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  <w:smallCaps w:val="1"/>
      </w:rPr>
      <w:tcPr>
        <w:tcBorders>
          <w:right w:color="7f7f7f" w:space="0" w:sz="4" w:val="single"/>
        </w:tcBorders>
      </w:tcPr>
    </w:tblStylePr>
    <w:tblStylePr w:type="firstRow">
      <w:rPr>
        <w:b w:val="1"/>
        <w:smallCaps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666666" w:space="0" w:sz="4" w:val="single"/>
        </w:tcBorders>
      </w:tcPr>
    </w:tblStylePr>
    <w:tblStylePr w:type="nwCell">
      <w:tcPr>
        <w:tcBorders>
          <w:bottom w:color="666666" w:space="0" w:sz="4" w:val="single"/>
        </w:tcBorders>
      </w:tcPr>
    </w:tblStylePr>
    <w:tblStylePr w:type="seCell">
      <w:tcPr>
        <w:tcBorders>
          <w:top w:color="666666" w:space="0" w:sz="4" w:val="single"/>
        </w:tcBorders>
      </w:tcPr>
    </w:tblStylePr>
    <w:tblStylePr w:type="swCell">
      <w:tcPr>
        <w:tcBorders>
          <w:top w:color="666666" w:space="0" w:sz="4" w:val="single"/>
        </w:tcBorders>
      </w:tcPr>
    </w:tblStylePr>
  </w:style>
  <w:style w:type="table" w:styleId="Table4">
    <w:basedOn w:val="TableNormal"/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666666" w:space="0" w:sz="4" w:val="single"/>
        </w:tcBorders>
      </w:tcPr>
    </w:tblStylePr>
    <w:tblStylePr w:type="nwCell">
      <w:tcPr>
        <w:tcBorders>
          <w:bottom w:color="666666" w:space="0" w:sz="4" w:val="single"/>
        </w:tcBorders>
      </w:tcPr>
    </w:tblStylePr>
    <w:tblStylePr w:type="seCell">
      <w:tcPr>
        <w:tcBorders>
          <w:top w:color="666666" w:space="0" w:sz="4" w:val="single"/>
        </w:tcBorders>
      </w:tcPr>
    </w:tblStylePr>
    <w:tblStylePr w:type="swCell">
      <w:tcPr>
        <w:tcBorders>
          <w:top w:color="666666" w:space="0" w:sz="4" w:val="single"/>
        </w:tcBorders>
      </w:tcPr>
    </w:tblStyle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8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LfQ+C25GQxojX+zd3V3l3lpnfQ==">AMUW2mXCXtT2o5BcidoHLtYNbxW2tQ8+rXYqr6T7FrNj3tZ0hcD4vMdMEhdXlVtP+DLIYuDS7MkDg2StC3eOGUz4M62yWMX3ygg3baMt/1W/qFEPpKkgiVkmTjtfOfxn+bVzumWINrbYxnnUMtRseXVjOBHIN2p10A==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2022-08-29T07:39:00Z</dcterms:created>
  <dc:creator>JAI</dc:creator>
</cp:coreProperties>
</file>