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:rsidR="001D1B94" w:rsidRPr="001D1B94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1D1B94">
        <w:rPr>
          <w:rStyle w:val="None"/>
          <w:sz w:val="20"/>
          <w:szCs w:val="20"/>
          <w:lang w:val="hu-HU"/>
        </w:rPr>
        <w:t>Belsőépítész tervezőművész Ma</w:t>
      </w:r>
    </w:p>
    <w:p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56530">
        <w:rPr>
          <w:rStyle w:val="None"/>
          <w:b/>
          <w:bCs/>
          <w:smallCaps/>
          <w:sz w:val="33"/>
          <w:szCs w:val="33"/>
          <w:lang w:val="hu-HU"/>
        </w:rPr>
        <w:t>Szerkezettan és anyagismeret</w:t>
      </w:r>
    </w:p>
    <w:p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71E52">
        <w:rPr>
          <w:rStyle w:val="None"/>
          <w:sz w:val="18"/>
          <w:szCs w:val="18"/>
          <w:lang w:val="hu-HU"/>
        </w:rPr>
        <w:t>EPM021MN</w:t>
      </w:r>
      <w:bookmarkStart w:id="0" w:name="_GoBack"/>
      <w:bookmarkEnd w:id="0"/>
    </w:p>
    <w:p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D1B94">
        <w:rPr>
          <w:rStyle w:val="None"/>
          <w:sz w:val="18"/>
          <w:szCs w:val="18"/>
          <w:lang w:val="hu-HU"/>
        </w:rPr>
        <w:t>1</w:t>
      </w:r>
    </w:p>
    <w:p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D1B94">
        <w:rPr>
          <w:rStyle w:val="None"/>
          <w:sz w:val="18"/>
          <w:szCs w:val="18"/>
          <w:lang w:val="hu-HU"/>
        </w:rPr>
        <w:t>4</w:t>
      </w:r>
    </w:p>
    <w:p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1BD8">
        <w:rPr>
          <w:rStyle w:val="None"/>
          <w:sz w:val="18"/>
          <w:szCs w:val="18"/>
          <w:lang w:val="hu-HU"/>
        </w:rPr>
        <w:t>2 e</w:t>
      </w:r>
      <w:r w:rsidR="005F3DD3">
        <w:rPr>
          <w:rStyle w:val="None"/>
          <w:sz w:val="18"/>
          <w:szCs w:val="18"/>
          <w:lang w:val="hu-HU"/>
        </w:rPr>
        <w:t>a</w:t>
      </w:r>
    </w:p>
    <w:p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D1B94">
        <w:rPr>
          <w:rStyle w:val="None"/>
          <w:b/>
          <w:bCs/>
          <w:sz w:val="18"/>
          <w:szCs w:val="18"/>
          <w:lang w:val="hu-HU"/>
        </w:rPr>
        <w:t>-</w:t>
      </w:r>
    </w:p>
    <w:p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1BD8">
        <w:rPr>
          <w:rStyle w:val="None"/>
          <w:bCs/>
          <w:color w:val="000000" w:themeColor="text1"/>
          <w:sz w:val="18"/>
          <w:szCs w:val="18"/>
        </w:rPr>
        <w:t>Kovács Péter DLA</w:t>
      </w:r>
      <w:r w:rsidR="00AA0959">
        <w:rPr>
          <w:rStyle w:val="None"/>
          <w:bCs/>
          <w:color w:val="000000" w:themeColor="text1"/>
          <w:sz w:val="18"/>
          <w:szCs w:val="18"/>
        </w:rPr>
        <w:t>, oktató</w:t>
      </w:r>
    </w:p>
    <w:p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</w:t>
      </w:r>
      <w:r w:rsidR="002B1BD8">
        <w:rPr>
          <w:rStyle w:val="None"/>
          <w:b w:val="0"/>
          <w:sz w:val="18"/>
          <w:szCs w:val="18"/>
        </w:rPr>
        <w:t xml:space="preserve"> B327</w:t>
      </w:r>
    </w:p>
    <w:p w:rsidR="002B3B18" w:rsidRPr="002B1BD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2B1BD8">
        <w:rPr>
          <w:rStyle w:val="None"/>
          <w:b w:val="0"/>
          <w:sz w:val="18"/>
          <w:szCs w:val="18"/>
        </w:rPr>
        <w:t>kope.hun@gmail.com</w:t>
      </w:r>
    </w:p>
    <w:p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2B1BD8" w:rsidRPr="00A601E6" w:rsidRDefault="00417E9C" w:rsidP="002B1B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B1BD8">
        <w:rPr>
          <w:rStyle w:val="None"/>
          <w:bCs/>
          <w:color w:val="000000" w:themeColor="text1"/>
          <w:sz w:val="18"/>
          <w:szCs w:val="18"/>
        </w:rPr>
        <w:t>Kovács Péter DLA</w:t>
      </w:r>
      <w:r w:rsidR="00AA0959">
        <w:rPr>
          <w:rStyle w:val="None"/>
          <w:bCs/>
          <w:color w:val="000000" w:themeColor="text1"/>
          <w:sz w:val="18"/>
          <w:szCs w:val="18"/>
        </w:rPr>
        <w:t>, oktató</w:t>
      </w:r>
    </w:p>
    <w:p w:rsidR="002B1BD8" w:rsidRPr="00A601E6" w:rsidRDefault="002B1BD8" w:rsidP="002B1B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</w:t>
      </w:r>
      <w:r>
        <w:rPr>
          <w:rStyle w:val="None"/>
          <w:b w:val="0"/>
          <w:sz w:val="18"/>
          <w:szCs w:val="18"/>
        </w:rPr>
        <w:t xml:space="preserve"> B327</w:t>
      </w:r>
    </w:p>
    <w:p w:rsidR="002B1BD8" w:rsidRPr="002B1BD8" w:rsidRDefault="002B1BD8" w:rsidP="002B1B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kope.hun@gmail.com</w:t>
      </w:r>
    </w:p>
    <w:p w:rsidR="009C40A3" w:rsidRPr="00A601E6" w:rsidRDefault="009C40A3" w:rsidP="002B1B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0F780F" w:rsidRDefault="00034EEB" w:rsidP="000F780F">
      <w:pPr>
        <w:pStyle w:val="Cmsor2"/>
      </w:pPr>
      <w:r w:rsidRPr="000F780F">
        <w:t>Tárgyleírás</w:t>
      </w:r>
    </w:p>
    <w:p w:rsidR="00CC1D3A" w:rsidRPr="00A601E6" w:rsidRDefault="002B1BD8" w:rsidP="00CC1D3A">
      <w:pPr>
        <w:widowControl w:val="0"/>
        <w:jc w:val="both"/>
        <w:rPr>
          <w:lang w:val="hu-HU"/>
        </w:rPr>
      </w:pPr>
      <w:r w:rsidRPr="002B1BD8">
        <w:rPr>
          <w:sz w:val="20"/>
          <w:lang w:val="hu-HU"/>
        </w:rPr>
        <w:t>A félév során a hallgatók megismerkednek a belsőépítészek számára legfontosabb építőanyagokkal és szerk</w:t>
      </w:r>
      <w:r w:rsidR="00B5587A">
        <w:rPr>
          <w:sz w:val="20"/>
          <w:lang w:val="hu-HU"/>
        </w:rPr>
        <w:t xml:space="preserve">ezetekkel. </w:t>
      </w:r>
      <w:r w:rsidRPr="002B1BD8">
        <w:rPr>
          <w:sz w:val="20"/>
          <w:lang w:val="hu-HU"/>
        </w:rPr>
        <w:t>Különös figyelmet fordítunk az anyagok és szerkezetek újrahasznosításának kérdéskörére, a recycling és upcycling nyújtotta lehetőségekre az építőipari tevékenységek környezetkárosító hatásának csökkentése érdekében. A félév során kapott önálló feladatok bátorítják a hallgatókat környezetük alaposabb szemrevételezésére, épített környezetük mélyebb megismerésére, a környezetalakításban rejlő lehetőségek feltárására.</w:t>
      </w:r>
      <w:r w:rsidR="00B5587A">
        <w:rPr>
          <w:sz w:val="20"/>
          <w:lang w:val="hu-HU"/>
        </w:rPr>
        <w:t xml:space="preserve"> </w:t>
      </w:r>
      <w:r w:rsidRPr="002B1BD8">
        <w:rPr>
          <w:sz w:val="20"/>
          <w:lang w:val="hu-HU"/>
        </w:rPr>
        <w:t>A kurzus segít mindazon ismeretanyag elsajátításában, mely a Belsőépítész képzés gyakorlati tantárgyainak teljesítéséhez szükséges.</w:t>
      </w:r>
    </w:p>
    <w:p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:rsidR="00CB2DEC" w:rsidRPr="00B5587A" w:rsidRDefault="00B5587A" w:rsidP="005077BE">
      <w:pPr>
        <w:widowControl w:val="0"/>
        <w:jc w:val="both"/>
        <w:rPr>
          <w:rStyle w:val="None"/>
          <w:sz w:val="20"/>
          <w:lang w:val="hu-HU"/>
        </w:rPr>
      </w:pPr>
      <w:r w:rsidRPr="00B5587A">
        <w:rPr>
          <w:sz w:val="20"/>
          <w:lang w:val="hu-HU"/>
        </w:rPr>
        <w:t>A Szerkezettan és anyagismeret tantárgy a belsőépítészeti szakterületre fókuszál miközben az anyagok építészeti, szerkezeti szerepével is foglalkozik</w:t>
      </w:r>
      <w:r>
        <w:rPr>
          <w:sz w:val="20"/>
          <w:lang w:val="hu-HU"/>
        </w:rPr>
        <w:t xml:space="preserve">. </w:t>
      </w:r>
      <w:r w:rsidRPr="002B1BD8">
        <w:rPr>
          <w:sz w:val="20"/>
          <w:lang w:val="hu-HU"/>
        </w:rPr>
        <w:t>Fontos célkitűzés, hogy a félév végére a hallgatók képesek legyenek az épített környezetben található szerkezetek önálló felismerésére, azok átalakíthatóságának meghatározására, megtervezésére.</w:t>
      </w:r>
    </w:p>
    <w:p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5587A">
        <w:rPr>
          <w:sz w:val="20"/>
          <w:lang w:val="hu-HU"/>
        </w:rPr>
        <w:t xml:space="preserve"> 2</w:t>
      </w:r>
    </w:p>
    <w:p w:rsidR="00B5587A" w:rsidRDefault="00B5587A" w:rsidP="001565FD">
      <w:pPr>
        <w:widowControl w:val="0"/>
        <w:jc w:val="both"/>
        <w:rPr>
          <w:sz w:val="20"/>
          <w:lang w:val="hu-HU"/>
        </w:rPr>
      </w:pPr>
    </w:p>
    <w:p w:rsidR="00B5587A" w:rsidRDefault="00B5587A" w:rsidP="00B5587A">
      <w:pPr>
        <w:widowControl w:val="0"/>
        <w:jc w:val="both"/>
        <w:rPr>
          <w:sz w:val="20"/>
          <w:lang w:val="hu-HU"/>
        </w:rPr>
      </w:pPr>
      <w:r w:rsidRPr="002B1BD8">
        <w:rPr>
          <w:sz w:val="20"/>
          <w:lang w:val="hu-HU"/>
        </w:rPr>
        <w:t>Az előadásokon bemutatásra kerülnek a</w:t>
      </w:r>
      <w:r w:rsidRPr="00B320B8">
        <w:rPr>
          <w:sz w:val="20"/>
          <w:szCs w:val="20"/>
          <w:lang w:val="hu-HU"/>
        </w:rPr>
        <w:t xml:space="preserve"> </w:t>
      </w:r>
      <w:r w:rsidRPr="00B320B8">
        <w:rPr>
          <w:sz w:val="20"/>
          <w:szCs w:val="20"/>
        </w:rPr>
        <w:t>leggyakrabban</w:t>
      </w:r>
      <w:r w:rsidRPr="002B1BD8">
        <w:rPr>
          <w:sz w:val="20"/>
          <w:lang w:val="hu-HU"/>
        </w:rPr>
        <w:t xml:space="preserve"> használt anyagok, azok tulajdonságai, az egyes anyagok szerkezetté formálásának lehetőségei, a különböző anyagfajták kombinálásának lehetőségei.</w:t>
      </w:r>
      <w:r>
        <w:rPr>
          <w:sz w:val="20"/>
          <w:lang w:val="hu-HU"/>
        </w:rPr>
        <w:t xml:space="preserve"> </w:t>
      </w:r>
      <w:r w:rsidRPr="002B1BD8">
        <w:rPr>
          <w:sz w:val="20"/>
          <w:lang w:val="hu-HU"/>
        </w:rPr>
        <w:t>A vetített előadások mellett fizikailag tapintható módon bemutatjuk az egyes építőanyagok változatos megjelenési formáit.</w:t>
      </w:r>
    </w:p>
    <w:p w:rsidR="00B5587A" w:rsidRPr="001565FD" w:rsidRDefault="00B5587A" w:rsidP="001565FD">
      <w:pPr>
        <w:widowControl w:val="0"/>
        <w:jc w:val="both"/>
        <w:rPr>
          <w:sz w:val="20"/>
          <w:lang w:val="hu-HU"/>
        </w:rPr>
      </w:pPr>
    </w:p>
    <w:p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B5587A" w:rsidRPr="00B5587A" w:rsidRDefault="00B5587A" w:rsidP="00B5587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5587A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</w:t>
      </w:r>
    </w:p>
    <w:p w:rsidR="00B5587A" w:rsidRPr="00B5587A" w:rsidRDefault="00B5587A" w:rsidP="00B5587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5587A">
        <w:rPr>
          <w:rStyle w:val="None"/>
          <w:rFonts w:eastAsia="Times New Roman"/>
          <w:bCs/>
          <w:sz w:val="20"/>
          <w:szCs w:val="20"/>
          <w:lang w:val="hu-HU"/>
        </w:rPr>
        <w:t>érdemjegy, illetve minősítés szerzése csak abban az esetben tagadható meg hiányzás miatt, ha nappali tagozaton</w:t>
      </w:r>
    </w:p>
    <w:p w:rsidR="00B5587A" w:rsidRPr="00B5587A" w:rsidRDefault="00B5587A" w:rsidP="00B5587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5587A">
        <w:rPr>
          <w:rStyle w:val="None"/>
          <w:rFonts w:eastAsia="Times New Roman"/>
          <w:bCs/>
          <w:sz w:val="20"/>
          <w:szCs w:val="20"/>
          <w:lang w:val="hu-HU"/>
        </w:rPr>
        <w:t>egy tantárgy esetén a tantárgyi tematikában előirányzott foglalkozások több mint 30%-áról hiányzott.</w:t>
      </w:r>
    </w:p>
    <w:p w:rsidR="000D23F6" w:rsidRDefault="00B5587A" w:rsidP="00B5587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5587A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ív.</w:t>
      </w:r>
    </w:p>
    <w:p w:rsidR="00741037" w:rsidRDefault="00741037" w:rsidP="00B5587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60F83" w:rsidRPr="00B65526" w:rsidRDefault="003950BE" w:rsidP="00B60F83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TVSz 40§(3))</w:t>
      </w:r>
    </w:p>
    <w:p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:rsidTr="006E0DE2">
        <w:tc>
          <w:tcPr>
            <w:tcW w:w="4678" w:type="dxa"/>
            <w:vAlign w:val="center"/>
          </w:tcPr>
          <w:p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:rsidTr="006E0DE2">
        <w:tc>
          <w:tcPr>
            <w:tcW w:w="4678" w:type="dxa"/>
            <w:shd w:val="clear" w:color="auto" w:fill="auto"/>
          </w:tcPr>
          <w:p w:rsidR="00785CBE" w:rsidRPr="007C6062" w:rsidRDefault="00785CBE" w:rsidP="0074103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:rsidR="00785CBE" w:rsidRPr="007C6062" w:rsidRDefault="0074103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50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785CBE" w:rsidRPr="007C6062" w:rsidRDefault="0074103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:rsidTr="006E0DE2">
        <w:tc>
          <w:tcPr>
            <w:tcW w:w="4678" w:type="dxa"/>
            <w:shd w:val="clear" w:color="auto" w:fill="auto"/>
          </w:tcPr>
          <w:p w:rsidR="00785CBE" w:rsidRPr="007C6062" w:rsidRDefault="00785CBE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:rsidR="00785CBE" w:rsidRPr="007C6062" w:rsidRDefault="0074103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50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785CBE" w:rsidRPr="007C6062" w:rsidRDefault="0074103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="008B1D8F" w:rsidRDefault="008B1D8F" w:rsidP="008B1D8F">
      <w:pPr>
        <w:rPr>
          <w:rStyle w:val="None"/>
          <w:rFonts w:eastAsia="Times New Roman"/>
          <w:b/>
          <w:bCs/>
          <w:iCs/>
          <w:sz w:val="20"/>
          <w:szCs w:val="20"/>
          <w:u w:val="single"/>
          <w:lang w:val="hu-HU"/>
        </w:rPr>
      </w:pPr>
      <w:r w:rsidRPr="00741037">
        <w:rPr>
          <w:rStyle w:val="None"/>
          <w:rFonts w:eastAsia="Times New Roman"/>
          <w:b/>
          <w:bCs/>
          <w:iCs/>
          <w:sz w:val="20"/>
          <w:szCs w:val="20"/>
          <w:u w:val="single"/>
          <w:lang w:val="hu-HU"/>
        </w:rPr>
        <w:t>Az Intézet saját szakjainak tantárgyai esetében:</w:t>
      </w:r>
    </w:p>
    <w:p w:rsidR="00741037" w:rsidRPr="00741037" w:rsidRDefault="00741037" w:rsidP="008B1D8F">
      <w:pPr>
        <w:rPr>
          <w:rStyle w:val="None"/>
          <w:rFonts w:eastAsia="Times New Roman"/>
          <w:b/>
          <w:bCs/>
          <w:iCs/>
          <w:color w:val="FF2D21" w:themeColor="accent5"/>
          <w:sz w:val="20"/>
          <w:szCs w:val="20"/>
          <w:u w:val="single"/>
          <w:lang w:val="hu-HU"/>
        </w:rPr>
      </w:pPr>
    </w:p>
    <w:p w:rsidR="008B1D8F" w:rsidRPr="00741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8B1D8F" w:rsidRPr="00741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8B1D8F" w:rsidRPr="00741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8B1D8F" w:rsidRPr="00741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</w:t>
      </w:r>
      <w:r w:rsidR="00741037" w:rsidRPr="00741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zült, és/vagy javította pótolta</w:t>
      </w:r>
    </w:p>
    <w:p w:rsidR="008B1D8F" w:rsidRPr="00F1372C" w:rsidRDefault="008B1D8F" w:rsidP="008B1D8F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432A55" w:rsidRDefault="008B1D8F" w:rsidP="00432A5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2738B0">
        <w:rPr>
          <w:rStyle w:val="None"/>
          <w:rFonts w:eastAsia="Times New Roman"/>
          <w:bCs/>
          <w:iCs/>
          <w:sz w:val="20"/>
          <w:szCs w:val="20"/>
          <w:lang w:val="hu-HU"/>
        </w:rPr>
        <w:t>Ezek teljesülésekor az aláírás megadásra kerül</w:t>
      </w:r>
      <w:r w:rsidR="002738B0" w:rsidRPr="002738B0">
        <w:rPr>
          <w:rStyle w:val="None"/>
          <w:rFonts w:eastAsia="Times New Roman"/>
          <w:bCs/>
          <w:iCs/>
          <w:sz w:val="20"/>
          <w:szCs w:val="20"/>
          <w:lang w:val="hu-HU"/>
        </w:rPr>
        <w:t>, a hallgató vizsgára bocsátható.</w:t>
      </w:r>
      <w:r w:rsidRPr="002738B0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432A55" w:rsidRPr="009D54D8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="00432A55" w:rsidRPr="009D54D8">
        <w:rPr>
          <w:rStyle w:val="None"/>
          <w:rFonts w:eastAsia="Times New Roman"/>
          <w:b/>
          <w:iCs/>
          <w:sz w:val="20"/>
          <w:szCs w:val="20"/>
          <w:lang w:val="hu-HU"/>
        </w:rPr>
        <w:t xml:space="preserve">5 fokozatú (1,2,3,4,5) </w:t>
      </w:r>
      <w:r w:rsidR="00432A55" w:rsidRPr="009D54D8">
        <w:rPr>
          <w:rStyle w:val="None"/>
          <w:rFonts w:eastAsia="Times New Roman"/>
          <w:bCs/>
          <w:iCs/>
          <w:sz w:val="20"/>
          <w:szCs w:val="20"/>
          <w:lang w:val="hu-HU"/>
        </w:rPr>
        <w:t>osztályzással történik a vizsgán</w:t>
      </w:r>
      <w:r w:rsidR="002738B0" w:rsidRPr="009D54D8">
        <w:rPr>
          <w:rStyle w:val="None"/>
          <w:rFonts w:eastAsia="Times New Roman"/>
          <w:bCs/>
          <w:iCs/>
          <w:sz w:val="20"/>
          <w:szCs w:val="20"/>
          <w:lang w:val="hu-HU"/>
        </w:rPr>
        <w:t>.</w:t>
      </w:r>
    </w:p>
    <w:p w:rsidR="007E3EB0" w:rsidRDefault="007E3EB0" w:rsidP="00432A5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7E3EB0" w:rsidRPr="002C62E3" w:rsidRDefault="007E3EB0" w:rsidP="007E3EB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:rsidR="007E3EB0" w:rsidRPr="007E3EB0" w:rsidRDefault="007E3EB0" w:rsidP="007E3E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E3EB0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TVSz általános szabályaival együttesen kell értelmezni és alkalmazni. </w:t>
      </w:r>
      <w:r w:rsidRPr="007E3EB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7E3EB0">
        <w:rPr>
          <w:rStyle w:val="None"/>
          <w:rFonts w:eastAsia="Times New Roman"/>
          <w:bCs/>
          <w:sz w:val="20"/>
          <w:szCs w:val="20"/>
          <w:lang w:val="hu-HU"/>
        </w:rPr>
        <w:t xml:space="preserve"> vizsgaidőszak első két hetében legalább</w:t>
      </w:r>
      <w:r w:rsidRPr="007E3EB0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lehetséges a zárthelyi dolgozato</w:t>
      </w:r>
      <w:r w:rsidRPr="007E3EB0">
        <w:rPr>
          <w:rStyle w:val="None"/>
          <w:rFonts w:eastAsia="Times New Roman"/>
          <w:bCs/>
          <w:sz w:val="20"/>
          <w:szCs w:val="20"/>
          <w:lang w:val="hu-HU"/>
        </w:rPr>
        <w:t>k a javítása/pótlása.</w:t>
      </w:r>
    </w:p>
    <w:p w:rsidR="007E3EB0" w:rsidRDefault="007E3EB0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Cs/>
          <w:sz w:val="20"/>
          <w:szCs w:val="20"/>
          <w:lang w:val="hu-HU"/>
        </w:rPr>
        <w:br w:type="page"/>
      </w:r>
    </w:p>
    <w:p w:rsidR="007E3EB0" w:rsidRPr="009D54D8" w:rsidRDefault="007E3EB0" w:rsidP="00432A5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="00D1550D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A53B6" w:rsidRDefault="00D1550D" w:rsidP="009A53B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40%-os teljesítés esetén sikeres.</w:t>
      </w:r>
    </w:p>
    <w:p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:rsidR="00F32B58" w:rsidRPr="00F32B58" w:rsidRDefault="003723BD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</w:t>
      </w:r>
      <w:r w:rsidR="009D54D8">
        <w:rPr>
          <w:rStyle w:val="None"/>
          <w:rFonts w:eastAsia="Times New Roman"/>
          <w:bCs/>
          <w:sz w:val="20"/>
          <w:szCs w:val="20"/>
          <w:lang w:val="hu-HU"/>
        </w:rPr>
        <w:t xml:space="preserve">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:rsidTr="006E0DE2">
        <w:tc>
          <w:tcPr>
            <w:tcW w:w="1838" w:type="dxa"/>
          </w:tcPr>
          <w:p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:rsidTr="006E0DE2">
        <w:tc>
          <w:tcPr>
            <w:tcW w:w="1838" w:type="dxa"/>
          </w:tcPr>
          <w:p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:rsidTr="006E0DE2">
        <w:tc>
          <w:tcPr>
            <w:tcW w:w="1838" w:type="dxa"/>
          </w:tcPr>
          <w:p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[1.] </w:t>
      </w:r>
      <w:r>
        <w:rPr>
          <w:rFonts w:ascii="Helvetica Light" w:hAnsi="Helvetica Light"/>
          <w:sz w:val="20"/>
          <w:szCs w:val="20"/>
        </w:rPr>
        <w:t>Construction Materials For Interior Design/Principles of Structure and Properties of Materials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[2.] </w:t>
      </w:r>
      <w:r>
        <w:rPr>
          <w:rFonts w:ascii="Helvetica Light" w:hAnsi="Helvetica Light"/>
          <w:sz w:val="20"/>
          <w:szCs w:val="20"/>
          <w:lang w:val="en-US"/>
        </w:rPr>
        <w:t>Interior design illustrated by Francis DK. Ching, Corky Binggeli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[3.] </w:t>
      </w:r>
      <w:r>
        <w:rPr>
          <w:rFonts w:ascii="Helvetica Light" w:hAnsi="Helvetica Light"/>
          <w:sz w:val="20"/>
          <w:szCs w:val="20"/>
          <w:lang w:val="en-US"/>
        </w:rPr>
        <w:t>Special strategies for interior design Ian Higgins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[4.] </w:t>
      </w:r>
      <w:r>
        <w:rPr>
          <w:rFonts w:ascii="Helvetica Light" w:hAnsi="Helvetica Light"/>
          <w:sz w:val="20"/>
          <w:szCs w:val="20"/>
          <w:lang w:val="en-US"/>
        </w:rPr>
        <w:t>Utilization, creative home space design ED: Ellyse Ho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[5.] </w:t>
      </w:r>
      <w:r>
        <w:rPr>
          <w:rFonts w:ascii="Helvetica Light" w:hAnsi="Helvetica Light"/>
          <w:sz w:val="20"/>
          <w:szCs w:val="20"/>
          <w:lang w:val="en-US"/>
        </w:rPr>
        <w:t>Basics Interior Architecture 01: Form and Structure: the Organisation of Interior Space</w:t>
      </w:r>
      <w:r>
        <w:rPr>
          <w:rStyle w:val="None"/>
          <w:rFonts w:ascii="Helvetica Light" w:hAnsi="Helvetica Light"/>
          <w:sz w:val="20"/>
          <w:szCs w:val="20"/>
          <w:lang w:val="en-US"/>
        </w:rPr>
        <w:t> </w:t>
      </w:r>
      <w:r>
        <w:rPr>
          <w:rFonts w:ascii="Helvetica Light" w:hAnsi="Helvetica Light"/>
          <w:sz w:val="20"/>
          <w:szCs w:val="20"/>
          <w:lang w:val="en-US"/>
        </w:rPr>
        <w:t>Shelly Stone</w:t>
      </w:r>
    </w:p>
    <w:p w:rsidR="003723BD" w:rsidRDefault="003723BD" w:rsidP="003723BD">
      <w:pPr>
        <w:pStyle w:val="Body"/>
        <w:spacing w:after="0" w:line="240" w:lineRule="auto"/>
        <w:rPr>
          <w:rFonts w:ascii="Helvetica Light" w:hAnsi="Helvetica Light"/>
          <w:sz w:val="20"/>
          <w:szCs w:val="20"/>
          <w:lang w:val="en-US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[6.] </w:t>
      </w:r>
      <w:r>
        <w:rPr>
          <w:rFonts w:ascii="Helvetica Light" w:hAnsi="Helvetica Light"/>
          <w:sz w:val="20"/>
          <w:szCs w:val="20"/>
          <w:lang w:val="en-US"/>
        </w:rPr>
        <w:t>Basics Interior Architecture 02: Context &amp; EnvironmentShelly Stone</w:t>
      </w:r>
    </w:p>
    <w:p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:rsidR="003723BD" w:rsidRPr="00C852DB" w:rsidRDefault="003723BD" w:rsidP="003723BD">
      <w:pPr>
        <w:rPr>
          <w:sz w:val="20"/>
          <w:szCs w:val="20"/>
          <w:lang w:val="hu-HU"/>
        </w:rPr>
      </w:pPr>
      <w:r w:rsidRPr="00C852DB">
        <w:rPr>
          <w:sz w:val="20"/>
          <w:szCs w:val="20"/>
          <w:lang w:val="hu-HU"/>
        </w:rPr>
        <w:t>A kurzus céljának elérésben a hallgatókat az interaktív előadások segítik. A példákkal illusztrált prezentációk biztosítják a lehetőséget a belsőépítész szakma gyakorlásához szükséges szerkezet- és anyagismeret elsajátításban. Az önállóan végezhető feladatok személyes tapasztalatokkal is felruházzák a diákokat, elősegítve az előadásokon szerzett ismeretanyag gyakorlati alkalmazását.</w:t>
      </w:r>
    </w:p>
    <w:p w:rsidR="004D5A67" w:rsidRPr="00C852DB" w:rsidRDefault="003723BD" w:rsidP="003723B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52DB">
        <w:rPr>
          <w:sz w:val="20"/>
          <w:szCs w:val="20"/>
          <w:lang w:val="hu-HU"/>
        </w:rPr>
        <w:t>A feladatok, követelmények kiadása a tematika szerint történik, és a tantárgy Neptun Meet Street felületére  is feltöltésre kerülnek. A tantárgyhoz kapcsolódó információk ugyancsak ezen a felületen lesznek elérhetőek ahol a hallgatók a feladatokhoz kapcsolódó kérdéseiket is feltehetik.</w:t>
      </w:r>
    </w:p>
    <w:p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:rsidR="00E5354C" w:rsidRPr="00050A80" w:rsidRDefault="00C852DB" w:rsidP="00E5354C">
      <w:pPr>
        <w:rPr>
          <w:sz w:val="20"/>
          <w:szCs w:val="20"/>
          <w:lang w:val="hu-HU"/>
        </w:rPr>
      </w:pPr>
      <w:r w:rsidRPr="00050A80">
        <w:rPr>
          <w:sz w:val="20"/>
          <w:szCs w:val="20"/>
          <w:lang w:val="hu-HU"/>
        </w:rPr>
        <w:t>A hallgatók a</w:t>
      </w:r>
      <w:r w:rsidR="00632235" w:rsidRPr="00050A80">
        <w:rPr>
          <w:sz w:val="20"/>
          <w:szCs w:val="20"/>
          <w:lang w:val="hu-HU"/>
        </w:rPr>
        <w:t xml:space="preserve"> vetített</w:t>
      </w:r>
      <w:r w:rsidRPr="00050A80">
        <w:rPr>
          <w:sz w:val="20"/>
          <w:szCs w:val="20"/>
          <w:lang w:val="hu-HU"/>
        </w:rPr>
        <w:t xml:space="preserve"> előadások során megismerkednek az épített környezetet alkotó egyes építőanyagokkal </w:t>
      </w:r>
      <w:r w:rsidR="00DB1475" w:rsidRPr="00050A80">
        <w:rPr>
          <w:sz w:val="20"/>
          <w:szCs w:val="20"/>
          <w:lang w:val="hu-HU"/>
        </w:rPr>
        <w:t>és</w:t>
      </w:r>
      <w:r w:rsidRPr="00050A80">
        <w:rPr>
          <w:sz w:val="20"/>
          <w:szCs w:val="20"/>
          <w:lang w:val="hu-HU"/>
        </w:rPr>
        <w:t xml:space="preserve"> azok fizikai tulajdonságaival, </w:t>
      </w:r>
      <w:r w:rsidR="00DB1475" w:rsidRPr="00050A80">
        <w:rPr>
          <w:sz w:val="20"/>
          <w:szCs w:val="20"/>
          <w:lang w:val="hu-HU"/>
        </w:rPr>
        <w:t>kitermelésükkel, megmunkálásukkal, alakíthatóságukkal.</w:t>
      </w:r>
      <w:r w:rsidR="00632235" w:rsidRPr="00050A80">
        <w:rPr>
          <w:sz w:val="20"/>
          <w:szCs w:val="20"/>
          <w:lang w:val="hu-HU"/>
        </w:rPr>
        <w:t xml:space="preserve"> </w:t>
      </w:r>
      <w:r w:rsidR="00DB1475" w:rsidRPr="00050A80">
        <w:rPr>
          <w:sz w:val="20"/>
          <w:szCs w:val="20"/>
          <w:lang w:val="hu-HU"/>
        </w:rPr>
        <w:t xml:space="preserve"> </w:t>
      </w:r>
      <w:r w:rsidR="00632235" w:rsidRPr="00050A80">
        <w:rPr>
          <w:sz w:val="20"/>
          <w:szCs w:val="20"/>
          <w:lang w:val="hu-HU"/>
        </w:rPr>
        <w:t xml:space="preserve">A hallgatók az egyes anyagokkal mintadarabok segítségével taktilisan is megismerkednek. Az oktató ismerteti az egyes építőanyagok felhasználási </w:t>
      </w:r>
      <w:r w:rsidR="00050A80" w:rsidRPr="00050A80">
        <w:rPr>
          <w:sz w:val="20"/>
          <w:szCs w:val="20"/>
          <w:lang w:val="hu-HU"/>
        </w:rPr>
        <w:t xml:space="preserve">módját, </w:t>
      </w:r>
      <w:r w:rsidR="00632235" w:rsidRPr="00050A80">
        <w:rPr>
          <w:sz w:val="20"/>
          <w:szCs w:val="20"/>
          <w:lang w:val="hu-HU"/>
        </w:rPr>
        <w:t xml:space="preserve">példákkal szemléltetve </w:t>
      </w:r>
      <w:r w:rsidR="00050A80" w:rsidRPr="00050A80">
        <w:rPr>
          <w:sz w:val="20"/>
          <w:szCs w:val="20"/>
          <w:lang w:val="hu-HU"/>
        </w:rPr>
        <w:t>az azokban rejlő lehetőségeket. Az ismeretek sikeres elsajátítását, gyakorlatba történő átültetését az oktató irányításával megoldandó feladatok segítik.</w:t>
      </w:r>
    </w:p>
    <w:p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:rsidR="00C852DB" w:rsidRPr="00050A80" w:rsidRDefault="00DB1475" w:rsidP="00EF01D1">
      <w:pPr>
        <w:pStyle w:val="Nincstrkz"/>
        <w:rPr>
          <w:sz w:val="20"/>
          <w:szCs w:val="20"/>
          <w:lang w:val="hu-HU"/>
        </w:rPr>
      </w:pPr>
      <w:r w:rsidRPr="00050A80">
        <w:rPr>
          <w:sz w:val="20"/>
          <w:szCs w:val="20"/>
          <w:lang w:val="hu-HU"/>
        </w:rPr>
        <w:t xml:space="preserve">Az oktató a félév során ismerteti a számonkérés tárgyát képező témaköröket. </w:t>
      </w:r>
      <w:r w:rsidR="00C852DB" w:rsidRPr="00050A80">
        <w:rPr>
          <w:sz w:val="20"/>
          <w:szCs w:val="20"/>
          <w:lang w:val="hu-HU"/>
        </w:rPr>
        <w:t xml:space="preserve">A zárhelyi dolgozatok és az írásbeli vizsga során a hallgatók </w:t>
      </w:r>
      <w:r w:rsidRPr="00050A80">
        <w:rPr>
          <w:sz w:val="20"/>
          <w:szCs w:val="20"/>
          <w:lang w:val="hu-HU"/>
        </w:rPr>
        <w:t>tesztkérdések és rajzban kidolgozandó feladatok megoldásával adnak számot az oktató által bemutatott tananyag megfelelő ismeretéről.</w:t>
      </w:r>
    </w:p>
    <w:p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:rsidR="00DB1475" w:rsidRDefault="00DB1475">
      <w:pPr>
        <w:rPr>
          <w:b/>
          <w:i/>
          <w:iCs/>
          <w:color w:val="FF2D21" w:themeColor="accent5"/>
          <w:sz w:val="20"/>
          <w:lang w:val="hu-HU"/>
        </w:rPr>
      </w:pPr>
      <w:r>
        <w:rPr>
          <w:b/>
          <w:i/>
          <w:iCs/>
          <w:color w:val="FF2D21" w:themeColor="accent5"/>
          <w:sz w:val="20"/>
          <w:lang w:val="hu-HU"/>
        </w:rPr>
        <w:br w:type="page"/>
      </w:r>
    </w:p>
    <w:p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Az épített környezet és annak átalakítása. Adottságok, lehetőségek, kihívások.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E7FAD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E7FAD" w:rsidRPr="00FE7FAD" w:rsidRDefault="009042D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Az építészet/belsőépítészet legfontosabb alapanyagai: A fa. Különböző fafajok, és azok felhasználási lehetőségei. A megmunkálás formái, a tartósság szempontjai. Szerkezet és dekoráció.</w:t>
            </w:r>
          </w:p>
        </w:tc>
        <w:tc>
          <w:tcPr>
            <w:tcW w:w="1985" w:type="dxa"/>
            <w:shd w:val="clear" w:color="auto" w:fill="auto"/>
          </w:tcPr>
          <w:p w:rsidR="00FE7FAD" w:rsidRPr="00FE7FAD" w:rsidRDefault="00420E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E7FAD" w:rsidRPr="00FE7FAD" w:rsidRDefault="00420E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FAD" w:rsidRPr="00FE7FAD" w:rsidRDefault="00420E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 xml:space="preserve">Falazott szerkezetek: a leggyakoribb anyagok megjelenési formái, az építőanyagok és technológiák fejlődése. Homogén szerkezetektől a réteges szerkezetek felé. 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Kő az építészetben és belsőépítészetben: Szerkezet és felület, látszó és rejtett anyagok. Felületképzés, homogén és réteges szerkezetek.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Vázas építési rendszerek. Fa, acél, vasbeton szerkezetek. Tervezői szabadság a teherhordó falas rendszerekhez viszonyítva. Épületváz és épületburok viszonya. Rejtett és megmutatott szerkezetek.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Fémek az építőiparban: szerkezet, burkolat, bútor. Az egyes fémek tulajdonságai, ötvözetek és kompozit anyagok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Beton és vasbeton az építészetben: története, szerepe és jelentősége a modern építészetben. A vasbeton nyújtotta lehetőségek és kötöttségek.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Hagyományos és szárazvakolatok, szárazépítészet: előnyök és hátrányok. Alakíthatóság és átalakíthatóság, lehetőségek és kötöttségek.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:rsidR="009042D4" w:rsidRDefault="009042D4">
      <w:r>
        <w:rPr>
          <w:i/>
          <w:iCs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9042D4" w:rsidRPr="00CD2805" w:rsidTr="0090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D4" w:rsidRPr="00FE7FAD" w:rsidRDefault="009042D4" w:rsidP="0090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</w:tr>
      <w:tr w:rsidR="009042D4" w:rsidRPr="00CD2805" w:rsidTr="0090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</w:tcBorders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042D4" w:rsidRPr="00FE7FAD" w:rsidRDefault="009042D4" w:rsidP="0027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 xml:space="preserve">1. </w:t>
            </w:r>
            <w:r w:rsidR="002738B0"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zárthelyi</w:t>
            </w: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 xml:space="preserve"> az ősziszünet előtti előadások anyagából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Üveg és műanyag a téralakításban, térformálásban. A gyártástechnológia fejlődése, a lehetőségek bővülése. Tartósság és újrahasznosítás, előnyök és hátrányok.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Festékek: a különböző anyagok festhetősége, oldószeres és vízben oldódó anyagok. Korszerű anyagok és felhasználási lehetőségek. Festés, mint felújítás. Hangulat és színek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A fal, a padló és a mennyezet anyagai: hagyományos és korszerű anyagok a belsőépítészetben. Az érzékelés módjai: tapintás, szaglás, látás, hallás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Textilek a belsőépítészetben: történeti áttekintés. Függönyök, kárpitok, szőnyegek, speciális megjelenési formák.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9042D4" w:rsidRPr="00CD2805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042D4" w:rsidRPr="00FE7FAD" w:rsidRDefault="009042D4" w:rsidP="009042D4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9042D4" w:rsidRPr="00FE7FAD" w:rsidRDefault="009042D4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42D4" w:rsidRPr="00FE7FAD" w:rsidRDefault="009042D4" w:rsidP="00273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 xml:space="preserve">. </w:t>
            </w:r>
            <w:r w:rsidR="002738B0"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>zárthelyi</w:t>
            </w:r>
            <w:r>
              <w:rPr>
                <w:rStyle w:val="None"/>
                <w:rFonts w:ascii="Dosis ExtraLight" w:eastAsia="Dosis ExtraLight" w:hAnsi="Dosis ExtraLight" w:cs="Dosis ExtraLight"/>
                <w:sz w:val="20"/>
                <w:szCs w:val="20"/>
              </w:rPr>
              <w:t xml:space="preserve"> az ősziszünet utáni előadások anyagából</w:t>
            </w:r>
          </w:p>
        </w:tc>
        <w:tc>
          <w:tcPr>
            <w:tcW w:w="1985" w:type="dxa"/>
            <w:shd w:val="clear" w:color="auto" w:fill="auto"/>
          </w:tcPr>
          <w:p w:rsidR="009042D4" w:rsidRPr="00FE7FAD" w:rsidRDefault="00420E55" w:rsidP="009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6FA1" w:rsidRDefault="00DC376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1BE1ADED" wp14:editId="1C432CA8">
            <wp:simplePos x="0" y="0"/>
            <wp:positionH relativeFrom="column">
              <wp:posOffset>3549015</wp:posOffset>
            </wp:positionH>
            <wp:positionV relativeFrom="paragraph">
              <wp:posOffset>15875</wp:posOffset>
            </wp:positionV>
            <wp:extent cx="1560830" cy="685165"/>
            <wp:effectExtent l="0" t="0" r="1270" b="635"/>
            <wp:wrapNone/>
            <wp:docPr id="3" name="Kép 3" descr="WP_20170215_14_54_03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_20170215_14_54_03_P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35ADF" w:rsidRPr="00A601E6" w:rsidRDefault="00DC376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8240" behindDoc="1" locked="0" layoutInCell="1" allowOverlap="1" wp14:editId="05DADF04">
            <wp:simplePos x="0" y="0"/>
            <wp:positionH relativeFrom="column">
              <wp:posOffset>4458970</wp:posOffset>
            </wp:positionH>
            <wp:positionV relativeFrom="paragraph">
              <wp:posOffset>8708390</wp:posOffset>
            </wp:positionV>
            <wp:extent cx="1560830" cy="685165"/>
            <wp:effectExtent l="0" t="0" r="1270" b="635"/>
            <wp:wrapNone/>
            <wp:docPr id="1" name="Kép 1" descr="WP_20170215_14_54_03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20170215_14_54_03_P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:rsidR="00DC376A" w:rsidRPr="00A601E6" w:rsidRDefault="00DC376A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DC376A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0F" w:rsidRDefault="0085770F" w:rsidP="007E74BB">
      <w:r>
        <w:separator/>
      </w:r>
    </w:p>
  </w:endnote>
  <w:endnote w:type="continuationSeparator" w:id="0">
    <w:p w:rsidR="0085770F" w:rsidRDefault="0085770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 Light">
    <w:altName w:val="Times New Roman"/>
    <w:charset w:val="00"/>
    <w:family w:val="roman"/>
    <w:pitch w:val="default"/>
  </w:font>
  <w:font w:name="Dosis Ex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8272C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0F" w:rsidRDefault="0085770F" w:rsidP="007E74BB">
      <w:r>
        <w:separator/>
      </w:r>
    </w:p>
  </w:footnote>
  <w:footnote w:type="continuationSeparator" w:id="0">
    <w:p w:rsidR="0085770F" w:rsidRDefault="0085770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BA3618" w:rsidRDefault="00BA3618" w:rsidP="00BA3618">
    <w:pPr>
      <w:pStyle w:val="TEMATIKAFEJLC-LBLC"/>
      <w:rPr>
        <w:lang w:val="hu-HU"/>
      </w:rPr>
    </w:pPr>
    <w:r>
      <w:rPr>
        <w:lang w:val="hu-HU"/>
      </w:rPr>
      <w:t xml:space="preserve">Szak(ok) neve: </w:t>
    </w:r>
    <w:r w:rsidRPr="00BA3618">
      <w:rPr>
        <w:lang w:val="hu-HU"/>
      </w:rPr>
      <w:t>Belsõépítész tervezõmûvész MA</w:t>
    </w:r>
  </w:p>
  <w:p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BA3618">
      <w:rPr>
        <w:lang w:val="hu-HU"/>
      </w:rPr>
      <w:t xml:space="preserve"> Szerkezettan és anyagismeret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:rsidR="00321A04" w:rsidRPr="001D1B94" w:rsidRDefault="00321A04" w:rsidP="00034EEB">
    <w:pPr>
      <w:pStyle w:val="TEMATIKAFEJLC-LBLC"/>
    </w:pPr>
    <w:r w:rsidRPr="00BF3EFC">
      <w:rPr>
        <w:lang w:val="hu-HU"/>
      </w:rPr>
      <w:t>tantárgy-kód:</w:t>
    </w:r>
    <w:r w:rsidR="00BA3618">
      <w:rPr>
        <w:lang w:val="hu-HU"/>
      </w:rPr>
      <w:t xml:space="preserve"> </w:t>
    </w:r>
    <w:r w:rsidR="00D56530">
      <w:rPr>
        <w:lang w:val="hu-HU"/>
      </w:rPr>
      <w:t>EPM021MN</w:t>
    </w:r>
    <w:r w:rsidRPr="00BF3EFC">
      <w:rPr>
        <w:lang w:val="hu-HU"/>
      </w:rPr>
      <w:tab/>
    </w:r>
    <w:r w:rsidRPr="00BF3EFC">
      <w:rPr>
        <w:lang w:val="hu-HU"/>
      </w:rPr>
      <w:tab/>
    </w:r>
    <w:r w:rsidR="001D1B94" w:rsidRPr="001D1B94">
      <w:t xml:space="preserve">lab: 1-15 hét Kedd 13.15-14.45 Helyszín: PTE MIK, A317 </w:t>
    </w:r>
  </w:p>
  <w:p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BA3618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715D68"/>
    <w:multiLevelType w:val="hybridMultilevel"/>
    <w:tmpl w:val="8A00867E"/>
    <w:numStyleLink w:val="ImportedStyle3"/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1968"/>
    <w:rsid w:val="00034EEB"/>
    <w:rsid w:val="000427E4"/>
    <w:rsid w:val="000460B2"/>
    <w:rsid w:val="00050A80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49F3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B94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38B0"/>
    <w:rsid w:val="0027665A"/>
    <w:rsid w:val="002B1BD8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23BD"/>
    <w:rsid w:val="0037780F"/>
    <w:rsid w:val="00380251"/>
    <w:rsid w:val="003950BE"/>
    <w:rsid w:val="00396E27"/>
    <w:rsid w:val="003A67F7"/>
    <w:rsid w:val="003B4F4E"/>
    <w:rsid w:val="003D0B60"/>
    <w:rsid w:val="003D33E7"/>
    <w:rsid w:val="003D493E"/>
    <w:rsid w:val="003E0454"/>
    <w:rsid w:val="003E74AC"/>
    <w:rsid w:val="003F6F9D"/>
    <w:rsid w:val="00415726"/>
    <w:rsid w:val="00417E9C"/>
    <w:rsid w:val="00420E55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32235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42C"/>
    <w:rsid w:val="00714872"/>
    <w:rsid w:val="007274F7"/>
    <w:rsid w:val="00730940"/>
    <w:rsid w:val="00741037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B103C"/>
    <w:rsid w:val="007C1107"/>
    <w:rsid w:val="007C44CE"/>
    <w:rsid w:val="007C6062"/>
    <w:rsid w:val="007C7FC9"/>
    <w:rsid w:val="007D2264"/>
    <w:rsid w:val="007E15AF"/>
    <w:rsid w:val="007E1B12"/>
    <w:rsid w:val="007E3EB0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770F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2D4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53B6"/>
    <w:rsid w:val="009A7FD9"/>
    <w:rsid w:val="009C40A3"/>
    <w:rsid w:val="009D1E2D"/>
    <w:rsid w:val="009D54D8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0959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20B8"/>
    <w:rsid w:val="00B43024"/>
    <w:rsid w:val="00B462E8"/>
    <w:rsid w:val="00B51660"/>
    <w:rsid w:val="00B51ED2"/>
    <w:rsid w:val="00B55307"/>
    <w:rsid w:val="00B5587A"/>
    <w:rsid w:val="00B60F83"/>
    <w:rsid w:val="00B65526"/>
    <w:rsid w:val="00B71E52"/>
    <w:rsid w:val="00B94C52"/>
    <w:rsid w:val="00BA2D5A"/>
    <w:rsid w:val="00BA361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852DB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550D"/>
    <w:rsid w:val="00D3570F"/>
    <w:rsid w:val="00D374BD"/>
    <w:rsid w:val="00D46181"/>
    <w:rsid w:val="00D55C3C"/>
    <w:rsid w:val="00D56530"/>
    <w:rsid w:val="00D643F2"/>
    <w:rsid w:val="00D80C78"/>
    <w:rsid w:val="00D85FD9"/>
    <w:rsid w:val="00DB1475"/>
    <w:rsid w:val="00DB4337"/>
    <w:rsid w:val="00DC2A31"/>
    <w:rsid w:val="00DC376A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272C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FF13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Body">
    <w:name w:val="Body"/>
    <w:rsid w:val="003723B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iemels">
    <w:name w:val="Emphasis"/>
    <w:qFormat/>
    <w:rsid w:val="00DC3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AEB24-A9F0-457F-9641-2777B84D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Péter Kovács</cp:lastModifiedBy>
  <cp:revision>2</cp:revision>
  <cp:lastPrinted>2022-09-06T10:01:00Z</cp:lastPrinted>
  <dcterms:created xsi:type="dcterms:W3CDTF">2022-09-07T08:27:00Z</dcterms:created>
  <dcterms:modified xsi:type="dcterms:W3CDTF">2022-09-07T08:27:00Z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