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D94D77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BC20B2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BC20B2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BC20B2">
        <w:rPr>
          <w:lang w:val="en-US"/>
        </w:rPr>
        <w:t>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2458CE4" w:rsidR="00AD4BC7" w:rsidRPr="00637494" w:rsidRDefault="00BC20B2" w:rsidP="0033233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BC20B2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CT/MR/PET/LINAC </w:t>
            </w:r>
            <w:r w:rsidR="00332332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Systems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6E7D360" w:rsidR="00AD4BC7" w:rsidRPr="00AF5724" w:rsidRDefault="009C24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9C24D9">
              <w:rPr>
                <w:rFonts w:asciiTheme="majorHAnsi" w:hAnsiTheme="majorHAnsi"/>
                <w:b/>
                <w:i w:val="0"/>
                <w:color w:val="auto"/>
              </w:rPr>
              <w:t>MSM626ANEG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4B73B04" w:rsidR="00AD4BC7" w:rsidRPr="00AF5724" w:rsidRDefault="007F2CEF" w:rsidP="000045F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 </w:t>
            </w:r>
            <w:r w:rsidR="00BC20B2" w:rsidRPr="00BC20B2">
              <w:rPr>
                <w:rFonts w:asciiTheme="majorHAnsi" w:hAnsiTheme="majorHAnsi"/>
                <w:b/>
                <w:i w:val="0"/>
                <w:color w:val="auto"/>
              </w:rPr>
              <w:t xml:space="preserve"> /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 </w:t>
            </w:r>
            <w:r w:rsidR="000045F8" w:rsidRPr="00BC20B2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r w:rsidR="000045F8">
              <w:rPr>
                <w:rFonts w:asciiTheme="majorHAnsi" w:hAnsiTheme="majorHAnsi"/>
                <w:b/>
                <w:i w:val="0"/>
                <w:color w:val="auto"/>
              </w:rPr>
              <w:t xml:space="preserve">/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0  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1029D86" w:rsidR="00AD4BC7" w:rsidRPr="00AF5724" w:rsidRDefault="00BC20B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7CBD2A5" w:rsidR="00AD4BC7" w:rsidRPr="00AF5724" w:rsidRDefault="004B363D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4B363D">
              <w:rPr>
                <w:rFonts w:asciiTheme="majorHAnsi" w:hAnsiTheme="majorHAnsi"/>
                <w:b/>
                <w:i w:val="0"/>
                <w:color w:val="auto"/>
              </w:rPr>
              <w:t>MSc in Biomedical Engineering programme</w:t>
            </w:r>
            <w:r w:rsidR="002E01F1">
              <w:rPr>
                <w:rFonts w:asciiTheme="majorHAnsi" w:hAnsiTheme="majorHAnsi"/>
                <w:b/>
                <w:i w:val="0"/>
                <w:color w:val="auto"/>
              </w:rPr>
              <w:t xml:space="preserve"> / Required elective course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2771DB0" w:rsidR="00AD4BC7" w:rsidRPr="00AF5724" w:rsidRDefault="00C1645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Full-time education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F9C1CBE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D38905E" w:rsidR="00AD4BC7" w:rsidRPr="00AF5724" w:rsidRDefault="00BC20B2" w:rsidP="00C1645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9C24D9">
              <w:rPr>
                <w:rFonts w:asciiTheme="majorHAnsi" w:hAnsiTheme="majorHAnsi"/>
                <w:b/>
                <w:i w:val="0"/>
                <w:color w:val="FF0000"/>
              </w:rPr>
              <w:t>2022/2023/</w:t>
            </w:r>
            <w:r w:rsidR="00C16450">
              <w:rPr>
                <w:rFonts w:asciiTheme="majorHAnsi" w:hAnsiTheme="majorHAnsi"/>
                <w:b/>
                <w:i w:val="0"/>
                <w:color w:val="FF0000"/>
              </w:rPr>
              <w:t>1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D9A281C" w14:textId="77777777" w:rsidR="004B363D" w:rsidRPr="004B363D" w:rsidRDefault="004B363D" w:rsidP="004B363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4B363D">
              <w:rPr>
                <w:rFonts w:asciiTheme="majorHAnsi" w:hAnsiTheme="majorHAnsi"/>
                <w:b/>
                <w:i w:val="0"/>
                <w:color w:val="auto"/>
              </w:rPr>
              <w:t>University of Pécs</w:t>
            </w:r>
          </w:p>
          <w:p w14:paraId="7CCFB74E" w14:textId="77777777" w:rsidR="004B363D" w:rsidRDefault="004B363D" w:rsidP="004B363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4B363D">
              <w:rPr>
                <w:rFonts w:asciiTheme="majorHAnsi" w:hAnsiTheme="majorHAnsi"/>
                <w:b/>
                <w:i w:val="0"/>
                <w:color w:val="auto"/>
              </w:rPr>
              <w:t xml:space="preserve">Faculty of Engineering and Information Technology </w:t>
            </w:r>
          </w:p>
          <w:p w14:paraId="1B01C639" w14:textId="6100F54F" w:rsidR="00B84B9D" w:rsidRPr="00AF5724" w:rsidRDefault="00B84B9D" w:rsidP="004B363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B84B9D">
              <w:rPr>
                <w:rFonts w:asciiTheme="majorHAnsi" w:hAnsiTheme="majorHAnsi"/>
                <w:b/>
                <w:i w:val="0"/>
                <w:color w:val="FF0000"/>
              </w:rPr>
              <w:t>MIK-ETK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877379A" w:rsidR="00AD4BC7" w:rsidRPr="00AF5724" w:rsidRDefault="00BC20B2" w:rsidP="00AD2342">
            <w:pPr>
              <w:rPr>
                <w:rFonts w:asciiTheme="majorHAnsi" w:hAnsiTheme="majorHAnsi"/>
                <w:b/>
                <w:color w:val="auto"/>
              </w:rPr>
            </w:pPr>
            <w:r w:rsidRPr="00BC20B2">
              <w:rPr>
                <w:rFonts w:asciiTheme="majorHAnsi" w:hAnsiTheme="majorHAnsi"/>
                <w:b/>
                <w:color w:val="auto"/>
              </w:rPr>
              <w:t xml:space="preserve">Dr. </w:t>
            </w:r>
            <w:r w:rsidR="007F2CEF">
              <w:rPr>
                <w:rFonts w:asciiTheme="majorHAnsi" w:hAnsiTheme="majorHAnsi"/>
                <w:b/>
                <w:color w:val="auto"/>
              </w:rPr>
              <w:t>Árpád Kovács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B162227" w:rsidR="006643D3" w:rsidRPr="00AF5724" w:rsidRDefault="007F2CE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Árpád Kovács, Mihály Simon, Dr. Márton Barabás, Dr. Kristóf Gál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73E56642" w:rsidR="00BE0BC5" w:rsidRPr="00637494" w:rsidRDefault="007F2CEF" w:rsidP="00637494">
      <w:pPr>
        <w:shd w:val="clear" w:color="auto" w:fill="DFDFDF" w:themeFill="background2" w:themeFillShade="E6"/>
      </w:pPr>
      <w:r>
        <w:t>Particular emphasis will be placed on the information content of certain methods of multimodal imaging, information on their additive nature, and the possibilities of applying image-driven therapeutic methods.</w:t>
      </w:r>
      <w:r w:rsidRPr="007F2CEF">
        <w:t xml:space="preserve"> </w:t>
      </w:r>
      <w:r>
        <w:t>In addition, the principles of radiological finding and the theoretical and practical aspects of structured finding are discussed here.</w:t>
      </w:r>
      <w:r w:rsidR="00BC20B2" w:rsidRPr="00BC20B2">
        <w:t xml:space="preserve"> </w:t>
      </w:r>
      <w:r>
        <w:t>Special emphasis will be placed on the practice of using multimodal imaging in therapeutic design and on the practical presentation of image-driven therapeutic methods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4B8DB2D0" w:rsidR="004348FE" w:rsidRPr="00637494" w:rsidRDefault="009713D0" w:rsidP="00637494">
      <w:pPr>
        <w:shd w:val="clear" w:color="auto" w:fill="DFDFDF" w:themeFill="background2" w:themeFillShade="E6"/>
        <w:jc w:val="left"/>
      </w:pPr>
      <w:r>
        <w:t xml:space="preserve">The main goal of this coure to understand </w:t>
      </w:r>
      <w:r w:rsidR="00C34622">
        <w:t xml:space="preserve">the techniacal, inariomental and structural background of high level imaging and treatment machiens. 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37AEE5CA" w:rsidR="00720EAD" w:rsidRPr="00576376" w:rsidRDefault="004B363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Introduction</w:t>
            </w:r>
          </w:p>
          <w:p w14:paraId="1C1578E3" w14:textId="53ED05D0" w:rsidR="00720EAD" w:rsidRDefault="004B363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Radiation physics, radiation biology</w:t>
            </w:r>
          </w:p>
          <w:p w14:paraId="4704E17E" w14:textId="7CFA98F3" w:rsidR="004B363D" w:rsidRDefault="004B363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CT</w:t>
            </w:r>
          </w:p>
          <w:p w14:paraId="34CAAFD1" w14:textId="7AFCD16E" w:rsidR="004B363D" w:rsidRDefault="004B363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MR</w:t>
            </w:r>
          </w:p>
          <w:p w14:paraId="4FFB627E" w14:textId="0879ED46" w:rsidR="004B363D" w:rsidRDefault="004B363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PET</w:t>
            </w:r>
          </w:p>
          <w:p w14:paraId="48904E1A" w14:textId="2B62756E" w:rsidR="004B363D" w:rsidRPr="00576376" w:rsidRDefault="004B363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LINAC</w:t>
            </w:r>
          </w:p>
          <w:p w14:paraId="3D4921F7" w14:textId="0468C723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3D65B97" w14:textId="77777777" w:rsidR="00C34622" w:rsidRPr="00576376" w:rsidRDefault="00C34622" w:rsidP="00C34622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Introduction</w:t>
            </w:r>
          </w:p>
          <w:p w14:paraId="318494C9" w14:textId="77777777" w:rsidR="00C34622" w:rsidRDefault="00C34622" w:rsidP="00C34622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Radiation physics, radiation biology</w:t>
            </w:r>
          </w:p>
          <w:p w14:paraId="464CB032" w14:textId="77777777" w:rsidR="00C34622" w:rsidRDefault="00C34622" w:rsidP="00C34622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CT</w:t>
            </w:r>
          </w:p>
          <w:p w14:paraId="07104B74" w14:textId="77777777" w:rsidR="00C34622" w:rsidRDefault="00C34622" w:rsidP="00C34622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lastRenderedPageBreak/>
              <w:t>MR</w:t>
            </w:r>
          </w:p>
          <w:p w14:paraId="172B5A17" w14:textId="77777777" w:rsidR="00C34622" w:rsidRDefault="00C34622" w:rsidP="00C34622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PET</w:t>
            </w:r>
          </w:p>
          <w:p w14:paraId="03AC85F8" w14:textId="534AB6E3" w:rsidR="00720EAD" w:rsidRPr="00576376" w:rsidRDefault="00C34622" w:rsidP="00C34622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LINAC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D0A5D0A" w:rsidR="00EC5287" w:rsidRPr="00637494" w:rsidRDefault="00AA6784" w:rsidP="007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</w:t>
            </w:r>
            <w:r w:rsidR="00786AD1">
              <w:t xml:space="preserve"> – Dr. Árpád Kovács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0E75F19B" w:rsidR="00EC5287" w:rsidRPr="00637494" w:rsidRDefault="00080B0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B05">
              <w:t>September 5, 2022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2649E86" w:rsidR="00EC5287" w:rsidRPr="00637494" w:rsidRDefault="00786AD1" w:rsidP="007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Radiation physics</w:t>
            </w:r>
            <w:r w:rsidR="00AA6784">
              <w:t xml:space="preserve">, </w:t>
            </w:r>
            <w:r>
              <w:t xml:space="preserve">radiation biology </w:t>
            </w:r>
            <w:r w:rsidR="00AA6784">
              <w:t xml:space="preserve">– </w:t>
            </w:r>
            <w:r>
              <w:t>Mihály Simon</w:t>
            </w: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047856AF" w:rsidR="00EC5287" w:rsidRPr="00637494" w:rsidRDefault="00080B05" w:rsidP="00AA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B05">
              <w:t>September</w:t>
            </w:r>
            <w:r>
              <w:t xml:space="preserve"> 19, 2022</w:t>
            </w: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336F506" w:rsidR="00EC5287" w:rsidRPr="00637494" w:rsidRDefault="00AA6784" w:rsidP="007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CT – Dr. </w:t>
            </w:r>
            <w:r w:rsidR="00786AD1">
              <w:t>Kristóf Gál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33A03CF1" w:rsidR="00EC5287" w:rsidRPr="00637494" w:rsidRDefault="00080B05" w:rsidP="0008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October 3, </w:t>
            </w:r>
            <w:r w:rsidR="00AA6784">
              <w:t>2022</w:t>
            </w: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66A66AE" w:rsidR="00EC5287" w:rsidRPr="00637494" w:rsidRDefault="00786AD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– Dr. Márton Barabás</w:t>
            </w: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45410B01" w:rsidR="00EC5287" w:rsidRPr="00637494" w:rsidRDefault="00080B05" w:rsidP="0008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17, 2022</w:t>
            </w: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39249B08" w:rsidR="00EC5287" w:rsidRPr="00637494" w:rsidRDefault="00786AD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 – Dr. Kristóf Gál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5EAC815B" w:rsidR="00EC5287" w:rsidRPr="00637494" w:rsidRDefault="00080B0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7, 2022</w:t>
            </w: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2C11F8D2" w:rsidR="00EC5287" w:rsidRPr="00637494" w:rsidRDefault="00786AD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AD1">
              <w:t>PET – Dr. Kristóf Gál</w:t>
            </w:r>
            <w:r>
              <w:t xml:space="preserve"> </w:t>
            </w: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1A573866" w:rsidR="00EC5287" w:rsidRPr="00637494" w:rsidRDefault="00080B05" w:rsidP="0008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14, 2022</w:t>
            </w: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E27F5B9" w:rsidR="00EC5287" w:rsidRPr="00637494" w:rsidRDefault="00786AD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LINAC – Dr. Árpád Kovács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6020105A" w:rsidR="00EC5287" w:rsidRPr="00637494" w:rsidRDefault="00080B05" w:rsidP="00080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23, 2022</w:t>
            </w: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10E136D2" w:rsidR="00EC5287" w:rsidRPr="00637494" w:rsidRDefault="00C3462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Discussion, fianl hand out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198EA5AD" w:rsidR="00EC5287" w:rsidRPr="00637494" w:rsidRDefault="00080B05" w:rsidP="0008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28, 2022</w:t>
            </w: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C34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C34622" w:rsidRPr="00637494" w14:paraId="51FBDFF0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C34622" w:rsidRPr="00637494" w:rsidRDefault="00C34622" w:rsidP="00C34622">
            <w:r w:rsidRPr="00637494">
              <w:t>1.</w:t>
            </w:r>
          </w:p>
        </w:tc>
        <w:tc>
          <w:tcPr>
            <w:tcW w:w="3832" w:type="dxa"/>
          </w:tcPr>
          <w:p w14:paraId="71E32B7A" w14:textId="4D4A47EA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– Dr. Árpád Kovács</w:t>
            </w:r>
          </w:p>
        </w:tc>
        <w:tc>
          <w:tcPr>
            <w:tcW w:w="1985" w:type="dxa"/>
          </w:tcPr>
          <w:p w14:paraId="3307DD7C" w14:textId="35B5AD75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FC8A2C1" w14:textId="15CC25FE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F18B59B" w14:textId="43D030A6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19</w:t>
            </w:r>
            <w:r w:rsidRPr="00080B05">
              <w:t>, 2022</w:t>
            </w:r>
          </w:p>
        </w:tc>
      </w:tr>
      <w:tr w:rsidR="00C34622" w:rsidRPr="00637494" w14:paraId="0B06AF13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34622" w:rsidRPr="00637494" w:rsidRDefault="00C34622" w:rsidP="00C34622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622" w:rsidRPr="00637494" w14:paraId="28E849E6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C34622" w:rsidRPr="00637494" w:rsidRDefault="00C34622" w:rsidP="00C34622">
            <w:r w:rsidRPr="00637494">
              <w:t>3.</w:t>
            </w:r>
          </w:p>
        </w:tc>
        <w:tc>
          <w:tcPr>
            <w:tcW w:w="3832" w:type="dxa"/>
          </w:tcPr>
          <w:p w14:paraId="650D3427" w14:textId="75433A20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Radiation physics, radiation biology – Mihály Simon</w:t>
            </w:r>
          </w:p>
        </w:tc>
        <w:tc>
          <w:tcPr>
            <w:tcW w:w="1985" w:type="dxa"/>
          </w:tcPr>
          <w:p w14:paraId="4696A7D7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4AD7FAB0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3</w:t>
            </w:r>
            <w:r>
              <w:t>, 2022</w:t>
            </w:r>
          </w:p>
        </w:tc>
      </w:tr>
      <w:tr w:rsidR="00C34622" w:rsidRPr="00637494" w14:paraId="4AA4DCCD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34622" w:rsidRPr="00637494" w:rsidRDefault="00C34622" w:rsidP="00C34622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622" w:rsidRPr="00637494" w14:paraId="29058E0D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34622" w:rsidRPr="00637494" w:rsidRDefault="00C34622" w:rsidP="00C34622">
            <w:r w:rsidRPr="00637494">
              <w:t>5.</w:t>
            </w:r>
          </w:p>
        </w:tc>
        <w:tc>
          <w:tcPr>
            <w:tcW w:w="3832" w:type="dxa"/>
          </w:tcPr>
          <w:p w14:paraId="6661A126" w14:textId="0DE16575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– Dr. Kristóf Gál</w:t>
            </w:r>
          </w:p>
        </w:tc>
        <w:tc>
          <w:tcPr>
            <w:tcW w:w="1985" w:type="dxa"/>
          </w:tcPr>
          <w:p w14:paraId="4A70142F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6017726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17</w:t>
            </w:r>
            <w:r>
              <w:t>, 2022</w:t>
            </w:r>
          </w:p>
        </w:tc>
      </w:tr>
      <w:tr w:rsidR="00C34622" w:rsidRPr="00637494" w14:paraId="6DD2615D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34622" w:rsidRPr="00637494" w:rsidRDefault="00C34622" w:rsidP="00C34622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622" w:rsidRPr="00637494" w14:paraId="1633CACF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34622" w:rsidRPr="00637494" w:rsidRDefault="00C34622" w:rsidP="00C34622">
            <w:r w:rsidRPr="00637494">
              <w:t>7.</w:t>
            </w:r>
          </w:p>
        </w:tc>
        <w:tc>
          <w:tcPr>
            <w:tcW w:w="3832" w:type="dxa"/>
          </w:tcPr>
          <w:p w14:paraId="5BD3D397" w14:textId="19E0D1B6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– Dr. Márton Barabás</w:t>
            </w:r>
          </w:p>
        </w:tc>
        <w:tc>
          <w:tcPr>
            <w:tcW w:w="1985" w:type="dxa"/>
          </w:tcPr>
          <w:p w14:paraId="68693001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4AAE80E8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November </w:t>
            </w:r>
            <w:r>
              <w:t>7, 2022</w:t>
            </w:r>
          </w:p>
        </w:tc>
      </w:tr>
      <w:tr w:rsidR="00C34622" w:rsidRPr="00637494" w14:paraId="309BE744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34622" w:rsidRPr="00637494" w:rsidRDefault="00C34622" w:rsidP="00C34622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622" w:rsidRPr="00637494" w14:paraId="666ABF7F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34622" w:rsidRPr="00637494" w:rsidRDefault="00C34622" w:rsidP="00C34622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622" w:rsidRPr="00637494" w14:paraId="36F6531D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34622" w:rsidRPr="00637494" w:rsidRDefault="00C34622" w:rsidP="00C34622">
            <w:r w:rsidRPr="00637494">
              <w:t>10.</w:t>
            </w:r>
          </w:p>
        </w:tc>
        <w:tc>
          <w:tcPr>
            <w:tcW w:w="3832" w:type="dxa"/>
          </w:tcPr>
          <w:p w14:paraId="6F1EED07" w14:textId="265B59C2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 – Dr. Kristóf Gál</w:t>
            </w:r>
          </w:p>
        </w:tc>
        <w:tc>
          <w:tcPr>
            <w:tcW w:w="1985" w:type="dxa"/>
          </w:tcPr>
          <w:p w14:paraId="1078150A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40EC62FC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14</w:t>
            </w:r>
            <w:r>
              <w:t>, 2022</w:t>
            </w:r>
          </w:p>
        </w:tc>
      </w:tr>
      <w:tr w:rsidR="00C34622" w:rsidRPr="00637494" w14:paraId="24BFC093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34622" w:rsidRPr="00637494" w:rsidRDefault="00C34622" w:rsidP="00C34622">
            <w:r w:rsidRPr="00637494">
              <w:t>11.</w:t>
            </w:r>
          </w:p>
        </w:tc>
        <w:tc>
          <w:tcPr>
            <w:tcW w:w="3832" w:type="dxa"/>
          </w:tcPr>
          <w:p w14:paraId="6E0CE2B1" w14:textId="24E6D356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AD1">
              <w:t>PET – Dr. Kristóf Gál</w:t>
            </w:r>
            <w:r>
              <w:t xml:space="preserve"> </w:t>
            </w:r>
          </w:p>
        </w:tc>
        <w:tc>
          <w:tcPr>
            <w:tcW w:w="1985" w:type="dxa"/>
          </w:tcPr>
          <w:p w14:paraId="7F618573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4809BEFE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23</w:t>
            </w:r>
            <w:r>
              <w:t>, 2022</w:t>
            </w:r>
          </w:p>
        </w:tc>
      </w:tr>
      <w:tr w:rsidR="00C34622" w:rsidRPr="00637494" w14:paraId="42376C8F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34622" w:rsidRPr="00637494" w:rsidRDefault="00C34622" w:rsidP="00C34622">
            <w:r w:rsidRPr="00637494">
              <w:t>12.</w:t>
            </w:r>
          </w:p>
        </w:tc>
        <w:tc>
          <w:tcPr>
            <w:tcW w:w="3832" w:type="dxa"/>
          </w:tcPr>
          <w:p w14:paraId="4DA3EE25" w14:textId="13274613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LINAC – Dr. Árpád Kovács</w:t>
            </w:r>
          </w:p>
        </w:tc>
        <w:tc>
          <w:tcPr>
            <w:tcW w:w="1985" w:type="dxa"/>
          </w:tcPr>
          <w:p w14:paraId="24F3EA45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3AB8A866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28</w:t>
            </w:r>
            <w:r>
              <w:t>, 2022</w:t>
            </w:r>
          </w:p>
        </w:tc>
      </w:tr>
      <w:tr w:rsidR="00C34622" w:rsidRPr="00637494" w14:paraId="7132E5FD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34622" w:rsidRPr="00637494" w:rsidRDefault="00C34622" w:rsidP="00C34622">
            <w:r w:rsidRPr="00637494">
              <w:t>13.</w:t>
            </w:r>
          </w:p>
        </w:tc>
        <w:tc>
          <w:tcPr>
            <w:tcW w:w="3832" w:type="dxa"/>
          </w:tcPr>
          <w:p w14:paraId="0AFB1BF4" w14:textId="223FB495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Discussion, Final handout</w:t>
            </w:r>
          </w:p>
        </w:tc>
        <w:tc>
          <w:tcPr>
            <w:tcW w:w="1985" w:type="dxa"/>
          </w:tcPr>
          <w:p w14:paraId="5E6C112B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5D86DFB5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622" w:rsidRPr="00637494" w14:paraId="2F0B24DB" w14:textId="77777777" w:rsidTr="00C3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34622" w:rsidRPr="00637494" w:rsidRDefault="00C34622" w:rsidP="00C34622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C34622" w:rsidRPr="00637494" w:rsidRDefault="00C34622" w:rsidP="00C3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622" w:rsidRPr="00637494" w14:paraId="63899CCA" w14:textId="77777777" w:rsidTr="00C34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34622" w:rsidRPr="00637494" w:rsidRDefault="00C34622" w:rsidP="00C34622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34622" w:rsidRPr="00637494" w:rsidRDefault="00C34622" w:rsidP="00C34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lastRenderedPageBreak/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2C09E6D8" w:rsidR="004348FE" w:rsidRPr="00C34622" w:rsidRDefault="0074781F" w:rsidP="00C34622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63BE17DD" w:rsidR="00891215" w:rsidRPr="00E15443" w:rsidRDefault="00C34622" w:rsidP="00E15443">
      <w:pPr>
        <w:shd w:val="clear" w:color="auto" w:fill="DFDFDF" w:themeFill="background2" w:themeFillShade="E6"/>
      </w:pPr>
      <w:r>
        <w:t>Jelenléti ív.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439CE574" w:rsidR="001C439B" w:rsidRPr="00C34622" w:rsidRDefault="00C34622" w:rsidP="00C3462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hand out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699CD7F7" w:rsidR="001C439B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1-5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36548B09" w:rsidR="001C439B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16C000EE" w:rsidR="004428C9" w:rsidRPr="00C34622" w:rsidRDefault="00C34622" w:rsidP="00C3462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hand out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6700D093" w:rsidR="004428C9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1-5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0AD6A60D" w:rsidR="004428C9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4A5038EC" w:rsidR="004428C9" w:rsidRPr="00C34622" w:rsidRDefault="00C34622" w:rsidP="00C3462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hand out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320D5DF8" w:rsidR="004428C9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1-5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1BC4CA02" w:rsidR="004428C9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340ACEB2" w14:textId="77777777" w:rsidR="004428C9" w:rsidRDefault="00C34622" w:rsidP="00C3462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hand out</w:t>
            </w:r>
          </w:p>
          <w:p w14:paraId="34AB988B" w14:textId="77777777" w:rsidR="00C34622" w:rsidRDefault="00C34622" w:rsidP="00C3462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hand out</w:t>
            </w:r>
          </w:p>
          <w:p w14:paraId="6821DAB5" w14:textId="0D6A73DB" w:rsidR="00C34622" w:rsidRPr="00C34622" w:rsidRDefault="00C34622" w:rsidP="00C3462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hand out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64463B0" w14:textId="77777777" w:rsidR="004428C9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1-5</w:t>
            </w:r>
          </w:p>
          <w:p w14:paraId="7C31D17B" w14:textId="77777777" w:rsidR="00C34622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1-5</w:t>
            </w:r>
          </w:p>
          <w:p w14:paraId="75D02ED0" w14:textId="299220DC" w:rsidR="00C34622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1-5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6539B80" w14:textId="77777777" w:rsidR="004428C9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5%</w:t>
            </w:r>
          </w:p>
          <w:p w14:paraId="32F9CAA9" w14:textId="77777777" w:rsidR="00C34622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5%</w:t>
            </w:r>
          </w:p>
          <w:p w14:paraId="4EA0D254" w14:textId="1D31E7FA" w:rsidR="00C34622" w:rsidRPr="00E15443" w:rsidRDefault="00C3462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7244C3E" w14:textId="4843E729" w:rsidR="004348FE" w:rsidRPr="003E046B" w:rsidRDefault="00C34622" w:rsidP="003E046B">
      <w:pPr>
        <w:shd w:val="clear" w:color="auto" w:fill="DFDFDF" w:themeFill="background2" w:themeFillShade="E6"/>
      </w:pPr>
      <w:r>
        <w:t>None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beadandó hf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lastRenderedPageBreak/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6F78AF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34622">
        <w:rPr>
          <w:i/>
          <w:iCs/>
          <w:shd w:val="clear" w:color="auto" w:fill="FFFF00"/>
        </w:rPr>
        <w:t>Summary of the hand outs, final exam hand out.</w:t>
      </w:r>
      <w:bookmarkStart w:id="1" w:name="_GoBack"/>
      <w:bookmarkEnd w:id="1"/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5465B8C1" w:rsidR="004348FE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273A94">
        <w:rPr>
          <w:rFonts w:cstheme="minorHAnsi"/>
        </w:rPr>
        <w:t>Legfontosabb kötelező irodalom és elérhetősége</w:t>
      </w:r>
    </w:p>
    <w:p w14:paraId="342EC70B" w14:textId="4FEA63D8" w:rsidR="007F2CEF" w:rsidRPr="007F2CEF" w:rsidRDefault="007F2CEF" w:rsidP="007F2CEF">
      <w:pPr>
        <w:pStyle w:val="Listaszerbekezds"/>
        <w:numPr>
          <w:ilvl w:val="0"/>
          <w:numId w:val="27"/>
        </w:numPr>
        <w:rPr>
          <w:rFonts w:cstheme="minorHAnsi"/>
        </w:rPr>
      </w:pPr>
      <w:r w:rsidRPr="007F2CEF">
        <w:rPr>
          <w:rFonts w:cstheme="minorHAnsi"/>
        </w:rPr>
        <w:t>Kovács Árpád (szerk.): Sugárterápia. Budapest: Medicina 2014, 464p. Elektronikus Tankönyv. (http://www.etk.pte.hu/menu/490/44)</w:t>
      </w:r>
    </w:p>
    <w:p w14:paraId="0196BAE1" w14:textId="2776F235" w:rsidR="007F2CEF" w:rsidRPr="007F2CEF" w:rsidRDefault="007F2CEF" w:rsidP="007F2CEF">
      <w:pPr>
        <w:pStyle w:val="Listaszerbekezds"/>
        <w:numPr>
          <w:ilvl w:val="0"/>
          <w:numId w:val="27"/>
        </w:numPr>
        <w:rPr>
          <w:rFonts w:cstheme="minorHAnsi"/>
        </w:rPr>
      </w:pPr>
      <w:r w:rsidRPr="007F2CEF">
        <w:rPr>
          <w:rFonts w:cstheme="minorHAnsi"/>
        </w:rPr>
        <w:t>Kovács Árpád: Sugárterápiás tervezés, szimuláció In: Bogner Péter, Berényi Ervin (szerk.) Radiológiai praktikum: Egészségügyi főiskolai e-tankönyv. Budapest: Medicina Könyvkiadó Zrt., 2012. pp. 689-697.</w:t>
      </w:r>
    </w:p>
    <w:p w14:paraId="0E8C00F7" w14:textId="265B63D4" w:rsidR="007F2CEF" w:rsidRPr="007F2CEF" w:rsidRDefault="007F2CEF" w:rsidP="007F2CEF">
      <w:pPr>
        <w:pStyle w:val="Listaszerbekezds"/>
        <w:numPr>
          <w:ilvl w:val="0"/>
          <w:numId w:val="27"/>
        </w:numPr>
        <w:rPr>
          <w:rFonts w:cstheme="minorHAnsi"/>
        </w:rPr>
      </w:pPr>
      <w:r w:rsidRPr="007F2CEF">
        <w:rPr>
          <w:rFonts w:cstheme="minorHAnsi"/>
        </w:rPr>
        <w:t>Battyány István, Harmat Zoltán: Vaszkuláris és nem vaszkuláris intervenciós radiológia In: Bogner Péter, Berényi Ervin (szerk.) Radiológiai praktikum: Egészségügyi főiskolai e-tankönyv. Budapest: Medicina Könyvkiadó Zrt., 2012. pp. 501-536</w:t>
      </w:r>
    </w:p>
    <w:p w14:paraId="5D6DB0E8" w14:textId="60934431" w:rsidR="007F2CEF" w:rsidRPr="007F2CEF" w:rsidRDefault="007F2CEF" w:rsidP="007F2CEF">
      <w:pPr>
        <w:pStyle w:val="Listaszerbekezds"/>
        <w:numPr>
          <w:ilvl w:val="0"/>
          <w:numId w:val="27"/>
        </w:numPr>
        <w:rPr>
          <w:rFonts w:cstheme="minorHAnsi"/>
        </w:rPr>
      </w:pPr>
      <w:r w:rsidRPr="007F2CEF">
        <w:rPr>
          <w:rFonts w:cstheme="minorHAnsi"/>
        </w:rPr>
        <w:t>Palkó András: Képalkotó diagnosztikai eljárások szabványos negatív leletei. Szakmai ajánlás, Radiológiai Szakmai kollégium 2008.</w:t>
      </w:r>
    </w:p>
    <w:p w14:paraId="7A0E685A" w14:textId="7AC0DC58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Pr="00273A94">
        <w:t>Kötelező irodalom és elérhetősége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28AF1" w14:textId="77777777" w:rsidR="006C6458" w:rsidRDefault="006C6458" w:rsidP="00AD4BC7">
      <w:r>
        <w:separator/>
      </w:r>
    </w:p>
  </w:endnote>
  <w:endnote w:type="continuationSeparator" w:id="0">
    <w:p w14:paraId="2EC250E5" w14:textId="77777777" w:rsidR="006C6458" w:rsidRDefault="006C6458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3D00431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2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43371" w14:textId="77777777" w:rsidR="006C6458" w:rsidRDefault="006C6458" w:rsidP="00AD4BC7">
      <w:r>
        <w:separator/>
      </w:r>
    </w:p>
  </w:footnote>
  <w:footnote w:type="continuationSeparator" w:id="0">
    <w:p w14:paraId="2E26C549" w14:textId="77777777" w:rsidR="006C6458" w:rsidRDefault="006C6458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36202E8A"/>
    <w:multiLevelType w:val="hybridMultilevel"/>
    <w:tmpl w:val="5106D574"/>
    <w:lvl w:ilvl="0" w:tplc="E66C4A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26FC"/>
    <w:multiLevelType w:val="hybridMultilevel"/>
    <w:tmpl w:val="85385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22"/>
  </w:num>
  <w:num w:numId="11">
    <w:abstractNumId w:val="27"/>
  </w:num>
  <w:num w:numId="12">
    <w:abstractNumId w:val="24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4"/>
  </w:num>
  <w:num w:numId="19">
    <w:abstractNumId w:val="26"/>
  </w:num>
  <w:num w:numId="20">
    <w:abstractNumId w:val="19"/>
  </w:num>
  <w:num w:numId="21">
    <w:abstractNumId w:val="21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6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45F8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0B05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E01F1"/>
    <w:rsid w:val="002F03A1"/>
    <w:rsid w:val="002F61F2"/>
    <w:rsid w:val="00305AFF"/>
    <w:rsid w:val="003138E8"/>
    <w:rsid w:val="003143C3"/>
    <w:rsid w:val="0031664E"/>
    <w:rsid w:val="00325702"/>
    <w:rsid w:val="0033233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274FC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363D"/>
    <w:rsid w:val="004B7E0A"/>
    <w:rsid w:val="004C1211"/>
    <w:rsid w:val="004C2A6B"/>
    <w:rsid w:val="004D08E3"/>
    <w:rsid w:val="004D2170"/>
    <w:rsid w:val="004E4D10"/>
    <w:rsid w:val="004F5760"/>
    <w:rsid w:val="0050293F"/>
    <w:rsid w:val="00502DC5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819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6458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86AD1"/>
    <w:rsid w:val="007910A3"/>
    <w:rsid w:val="00794A9F"/>
    <w:rsid w:val="007A562D"/>
    <w:rsid w:val="007D36D9"/>
    <w:rsid w:val="007D6ACD"/>
    <w:rsid w:val="007E136B"/>
    <w:rsid w:val="007E6B15"/>
    <w:rsid w:val="007E6C57"/>
    <w:rsid w:val="007F2CEF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62287"/>
    <w:rsid w:val="009713D0"/>
    <w:rsid w:val="0097665F"/>
    <w:rsid w:val="00977A6B"/>
    <w:rsid w:val="009A16B3"/>
    <w:rsid w:val="009A3463"/>
    <w:rsid w:val="009B4F16"/>
    <w:rsid w:val="009C24D9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A38D2"/>
    <w:rsid w:val="00AA6784"/>
    <w:rsid w:val="00AD2342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84B9D"/>
    <w:rsid w:val="00BA5B12"/>
    <w:rsid w:val="00BC20B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6450"/>
    <w:rsid w:val="00C17094"/>
    <w:rsid w:val="00C34622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0240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A67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6446-740A-4822-A709-619DB34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Kovács Árpád</cp:lastModifiedBy>
  <cp:revision>3</cp:revision>
  <cp:lastPrinted>2022-09-06T10:00:00Z</cp:lastPrinted>
  <dcterms:created xsi:type="dcterms:W3CDTF">2022-09-21T07:47:00Z</dcterms:created>
  <dcterms:modified xsi:type="dcterms:W3CDTF">2022-09-21T07:47:00Z</dcterms:modified>
</cp:coreProperties>
</file>