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hu2a11y1ezx" w:id="0"/>
      <w:bookmarkEnd w:id="0"/>
      <w:r w:rsidDel="00000000" w:rsidR="00000000" w:rsidRPr="00000000">
        <w:rPr>
          <w:rtl w:val="0"/>
        </w:rPr>
        <w:t xml:space="preserve">Communication Engineering</w:t>
        <w:tab/>
        <w:t xml:space="preserve">- IVB001ANVM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Lecture/Practice/Lab:</w:t>
        <w:tab/>
        <w:t xml:space="preserve">2/0/1</w:t>
      </w:r>
    </w:p>
    <w:p w:rsidR="00000000" w:rsidDel="00000000" w:rsidP="00000000" w:rsidRDefault="00000000" w:rsidRPr="00000000" w14:paraId="00000004">
      <w:pPr>
        <w:rPr/>
      </w:pPr>
      <w:r w:rsidDel="00000000" w:rsidR="00000000" w:rsidRPr="00000000">
        <w:rPr>
          <w:rtl w:val="0"/>
        </w:rPr>
        <w:t xml:space="preserve">Credit points:</w:t>
        <w:tab/>
        <w:tab/>
        <w:t xml:space="preserve">4</w:t>
      </w:r>
    </w:p>
    <w:p w:rsidR="00000000" w:rsidDel="00000000" w:rsidP="00000000" w:rsidRDefault="00000000" w:rsidRPr="00000000" w14:paraId="00000005">
      <w:pPr>
        <w:rPr/>
      </w:pPr>
      <w:r w:rsidDel="00000000" w:rsidR="00000000" w:rsidRPr="00000000">
        <w:rPr>
          <w:rtl w:val="0"/>
        </w:rPr>
        <w:t xml:space="preserve">Requirement:</w:t>
        <w:tab/>
        <w:tab/>
        <w:t xml:space="preserve">Midterm grade</w:t>
      </w:r>
    </w:p>
    <w:p w:rsidR="00000000" w:rsidDel="00000000" w:rsidP="00000000" w:rsidRDefault="00000000" w:rsidRPr="00000000" w14:paraId="00000006">
      <w:pPr>
        <w:rPr/>
      </w:pPr>
      <w:r w:rsidDel="00000000" w:rsidR="00000000" w:rsidRPr="00000000">
        <w:rPr>
          <w:rtl w:val="0"/>
        </w:rPr>
        <w:t xml:space="preserve">Semester:</w:t>
        <w:tab/>
        <w:tab/>
        <w:t xml:space="preserve">Spring, 4/7</w:t>
      </w:r>
    </w:p>
    <w:p w:rsidR="00000000" w:rsidDel="00000000" w:rsidP="00000000" w:rsidRDefault="00000000" w:rsidRPr="00000000" w14:paraId="00000007">
      <w:pPr>
        <w:rPr/>
      </w:pPr>
      <w:r w:rsidDel="00000000" w:rsidR="00000000" w:rsidRPr="00000000">
        <w:rPr>
          <w:rtl w:val="0"/>
        </w:rPr>
        <w:t xml:space="preserve">Prerequisites:</w:t>
        <w:tab/>
        <w:tab/>
        <w:t xml:space="preserve">Electromagnetic fields</w:t>
      </w:r>
    </w:p>
    <w:p w:rsidR="00000000" w:rsidDel="00000000" w:rsidP="00000000" w:rsidRDefault="00000000" w:rsidRPr="00000000" w14:paraId="00000008">
      <w:pPr>
        <w:rPr/>
      </w:pPr>
      <w:r w:rsidDel="00000000" w:rsidR="00000000" w:rsidRPr="00000000">
        <w:rPr>
          <w:rtl w:val="0"/>
        </w:rPr>
        <w:t xml:space="preserve">Lecturer:</w:t>
        <w:tab/>
        <w:tab/>
        <w:t xml:space="preserve">Zsolt Kisander</w:t>
      </w:r>
    </w:p>
    <w:p w:rsidR="00000000" w:rsidDel="00000000" w:rsidP="00000000" w:rsidRDefault="00000000" w:rsidRPr="00000000" w14:paraId="00000009">
      <w:pPr>
        <w:rPr/>
      </w:pPr>
      <w:r w:rsidDel="00000000" w:rsidR="00000000" w:rsidRPr="00000000">
        <w:rPr>
          <w:rtl w:val="0"/>
        </w:rPr>
        <w:t xml:space="preserve">Department:</w:t>
        <w:tab/>
        <w:tab/>
        <w:t xml:space="preserve">Department of Automation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course covers fundamentals of analog and digital communications. We study the related basics of signals and systems (sampling and quantization, modulation, signal detection) and the physical properties of communication systems.</w:t>
      </w:r>
    </w:p>
    <w:p w:rsidR="00000000" w:rsidDel="00000000" w:rsidP="00000000" w:rsidRDefault="00000000" w:rsidRPr="00000000" w14:paraId="0000000C">
      <w:pPr>
        <w:pStyle w:val="Heading4"/>
        <w:rPr/>
      </w:pPr>
      <w:bookmarkStart w:colFirst="0" w:colLast="0" w:name="_7x5bxe87gvjx" w:id="1"/>
      <w:bookmarkEnd w:id="1"/>
      <w:r w:rsidDel="00000000" w:rsidR="00000000" w:rsidRPr="00000000">
        <w:rPr>
          <w:rtl w:val="0"/>
        </w:rPr>
        <w:t xml:space="preserve">Lecture topics</w:t>
      </w:r>
    </w:p>
    <w:p w:rsidR="00000000" w:rsidDel="00000000" w:rsidP="00000000" w:rsidRDefault="00000000" w:rsidRPr="00000000" w14:paraId="0000000D">
      <w:pPr>
        <w:rPr/>
      </w:pPr>
      <w:r w:rsidDel="00000000" w:rsidR="00000000" w:rsidRPr="00000000">
        <w:rPr>
          <w:rtl w:val="0"/>
        </w:rPr>
        <w:t xml:space="preserve">Lecture topics follow the recommended textbook’s chapters.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Historical background and related fields. Required topics in mathematics, physics, electronics and information theory.</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Fourier representation of signals and systems. Mathematical description of signals in time and frequency domain. Fourier series and transformation.</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Fourier representation of signals and systems. Mathematical description of systems. Convolution and its properties. Filters, amplifiers, attenuators.</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Physical and electrical properties of signals and systems. Losses, noises, in different transfer media.</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Wireless transmission. Basics of radiocommunication. Common wireless standards.</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Amplitude modulation and demodulation.</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Angle modulations, frequency and phase modulation.</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PCM and delta modulation.</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Baseband data transmission. Intersymbol interference. Nyquist channel.</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Digital modulations (binary), ASK, FSK, PSK.</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Digital modulations, (quadrature) QAM, QPSK.</w:t>
      </w:r>
    </w:p>
    <w:p w:rsidR="00000000" w:rsidDel="00000000" w:rsidP="00000000" w:rsidRDefault="00000000" w:rsidRPr="00000000" w14:paraId="0000001A">
      <w:pPr>
        <w:pStyle w:val="Heading4"/>
        <w:rPr/>
      </w:pPr>
      <w:bookmarkStart w:colFirst="0" w:colLast="0" w:name="_uw8qh2ny9a0c" w:id="2"/>
      <w:bookmarkEnd w:id="2"/>
      <w:r w:rsidDel="00000000" w:rsidR="00000000" w:rsidRPr="00000000">
        <w:rPr>
          <w:rtl w:val="0"/>
        </w:rPr>
        <w:t xml:space="preserve">Lab topics</w:t>
      </w:r>
    </w:p>
    <w:p w:rsidR="00000000" w:rsidDel="00000000" w:rsidP="00000000" w:rsidRDefault="00000000" w:rsidRPr="00000000" w14:paraId="0000001B">
      <w:pPr>
        <w:rPr/>
      </w:pPr>
      <w:r w:rsidDel="00000000" w:rsidR="00000000" w:rsidRPr="00000000">
        <w:rPr>
          <w:rtl w:val="0"/>
        </w:rPr>
        <w:t xml:space="preserve">Recommended readings are the most recent versions of the respective official standards.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Industrial, RS232.</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Industrial, RS422 and RS485.</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Industrial, Modbus.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CAN.</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Embedded, UART, SPI, I2C.</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4"/>
        <w:rPr/>
      </w:pPr>
      <w:bookmarkStart w:colFirst="0" w:colLast="0" w:name="_ucbt0pr0l12l" w:id="3"/>
      <w:bookmarkEnd w:id="3"/>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4"/>
        <w:rPr/>
      </w:pPr>
      <w:bookmarkStart w:colFirst="0" w:colLast="0" w:name="_t17f9y40id08" w:id="4"/>
      <w:bookmarkEnd w:id="4"/>
      <w:r w:rsidDel="00000000" w:rsidR="00000000" w:rsidRPr="00000000">
        <w:rPr>
          <w:rtl w:val="0"/>
        </w:rPr>
        <w:t xml:space="preserve">Midterm requirements and fulfillment</w:t>
      </w:r>
    </w:p>
    <w:p w:rsidR="00000000" w:rsidDel="00000000" w:rsidP="00000000" w:rsidRDefault="00000000" w:rsidRPr="00000000" w14:paraId="00000026">
      <w:pPr>
        <w:rPr/>
      </w:pPr>
      <w:r w:rsidDel="00000000" w:rsidR="00000000" w:rsidRPr="00000000">
        <w:rPr>
          <w:rtl w:val="0"/>
        </w:rPr>
        <w:t xml:space="preserve">Students must be present on more than 70% of contact classes and/or consultations. Having more than 30% absence results in signature denial.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Midterm assessments:</w:t>
      </w:r>
    </w:p>
    <w:p w:rsidR="00000000" w:rsidDel="00000000" w:rsidP="00000000" w:rsidRDefault="00000000" w:rsidRPr="00000000" w14:paraId="00000029">
      <w:pPr>
        <w:numPr>
          <w:ilvl w:val="0"/>
          <w:numId w:val="4"/>
        </w:numPr>
        <w:ind w:left="720" w:hanging="360"/>
      </w:pPr>
      <w:r w:rsidDel="00000000" w:rsidR="00000000" w:rsidRPr="00000000">
        <w:rPr>
          <w:rtl w:val="0"/>
        </w:rPr>
        <w:t xml:space="preserve">One written test after the 10th week (lecture topics). The exact schedule will be voted on by the students.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Students have to complete each assessment with a passing grade to get the signature and the midterm grade.  The midterm grade is the arithmetic mean of the assessment results.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1"/>
        <w:tblW w:w="9025.5118110236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7.882894460151"/>
        <w:gridCol w:w="1249.8235940092059"/>
        <w:gridCol w:w="1236.432626930536"/>
        <w:gridCol w:w="1249.8235940092059"/>
        <w:gridCol w:w="1236.432626930536"/>
        <w:gridCol w:w="1705.1164746839881"/>
        <w:tblGridChange w:id="0">
          <w:tblGrid>
            <w:gridCol w:w="2347.882894460151"/>
            <w:gridCol w:w="1249.8235940092059"/>
            <w:gridCol w:w="1236.432626930536"/>
            <w:gridCol w:w="1249.8235940092059"/>
            <w:gridCol w:w="1236.432626930536"/>
            <w:gridCol w:w="1705.1164746839881"/>
          </w:tblGrid>
        </w:tblGridChange>
      </w:tblGrid>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2E">
            <w:pPr>
              <w:widowControl w:val="0"/>
              <w:rPr>
                <w:sz w:val="20"/>
                <w:szCs w:val="20"/>
              </w:rPr>
            </w:pPr>
            <w:r w:rsidDel="00000000" w:rsidR="00000000" w:rsidRPr="00000000">
              <w:rPr>
                <w:rtl w:val="0"/>
              </w:rPr>
              <w:t xml:space="preserve">Mark</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F">
            <w:pPr>
              <w:widowControl w:val="0"/>
              <w:jc w:val="center"/>
              <w:rPr>
                <w:sz w:val="20"/>
                <w:szCs w:val="20"/>
              </w:rPr>
            </w:pPr>
            <w:r w:rsidDel="00000000" w:rsidR="00000000" w:rsidRPr="00000000">
              <w:rPr>
                <w:rtl w:val="0"/>
              </w:rPr>
              <w:t xml:space="preserve">5</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0">
            <w:pPr>
              <w:widowControl w:val="0"/>
              <w:jc w:val="center"/>
              <w:rPr>
                <w:sz w:val="20"/>
                <w:szCs w:val="20"/>
              </w:rPr>
            </w:pPr>
            <w:r w:rsidDel="00000000" w:rsidR="00000000" w:rsidRPr="00000000">
              <w:rPr>
                <w:rtl w:val="0"/>
              </w:rPr>
              <w:t xml:space="preserve">4</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1">
            <w:pPr>
              <w:widowControl w:val="0"/>
              <w:jc w:val="center"/>
              <w:rPr>
                <w:sz w:val="20"/>
                <w:szCs w:val="20"/>
              </w:rPr>
            </w:pPr>
            <w:r w:rsidDel="00000000" w:rsidR="00000000" w:rsidRPr="00000000">
              <w:rPr>
                <w:rtl w:val="0"/>
              </w:rPr>
              <w:t xml:space="preserve">3</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2">
            <w:pPr>
              <w:widowControl w:val="0"/>
              <w:jc w:val="center"/>
              <w:rPr>
                <w:sz w:val="20"/>
                <w:szCs w:val="20"/>
              </w:rPr>
            </w:pPr>
            <w:r w:rsidDel="00000000" w:rsidR="00000000" w:rsidRPr="00000000">
              <w:rPr>
                <w:rtl w:val="0"/>
              </w:rPr>
              <w:t xml:space="preserve">2</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3">
            <w:pPr>
              <w:widowControl w:val="0"/>
              <w:jc w:val="center"/>
              <w:rPr>
                <w:sz w:val="20"/>
                <w:szCs w:val="20"/>
              </w:rPr>
            </w:pPr>
            <w:r w:rsidDel="00000000" w:rsidR="00000000" w:rsidRPr="00000000">
              <w:rPr>
                <w:rtl w:val="0"/>
              </w:rPr>
              <w:t xml:space="preserve">1</w:t>
            </w:r>
            <w:r w:rsidDel="00000000" w:rsidR="00000000" w:rsidRPr="00000000">
              <w:rPr>
                <w:rtl w:val="0"/>
              </w:rPr>
            </w:r>
          </w:p>
        </w:tc>
      </w:tr>
      <w:tr>
        <w:trPr>
          <w:cantSplit w:val="0"/>
          <w:trHeight w:val="500" w:hRule="atLeast"/>
          <w:tblHeader w:val="0"/>
        </w:trPr>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rPr>
                <w:sz w:val="20"/>
                <w:szCs w:val="20"/>
              </w:rPr>
            </w:pPr>
            <w:r w:rsidDel="00000000" w:rsidR="00000000" w:rsidRPr="00000000">
              <w:rPr>
                <w:rtl w:val="0"/>
              </w:rPr>
              <w:t xml:space="preserve">Grade</w:t>
            </w:r>
            <w:r w:rsidDel="00000000" w:rsidR="00000000" w:rsidRPr="00000000">
              <w:rPr>
                <w:rtl w:val="0"/>
              </w:rPr>
            </w:r>
          </w:p>
        </w:tc>
        <w:tc>
          <w:tcPr>
            <w:gridSpan w:val="4"/>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jc w:val="center"/>
              <w:rPr>
                <w:sz w:val="20"/>
                <w:szCs w:val="20"/>
              </w:rPr>
            </w:pPr>
            <w:r w:rsidDel="00000000" w:rsidR="00000000" w:rsidRPr="00000000">
              <w:rPr>
                <w:rtl w:val="0"/>
              </w:rPr>
              <w:t xml:space="preserve">Passing</w:t>
            </w:r>
            <w:r w:rsidDel="00000000" w:rsidR="00000000" w:rsidRPr="00000000">
              <w:rPr>
                <w:rtl w:val="0"/>
              </w:rPr>
            </w:r>
          </w:p>
        </w:tc>
        <w:tc>
          <w:tcPr>
            <w:tcBorders>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jc w:val="center"/>
              <w:rPr>
                <w:sz w:val="20"/>
                <w:szCs w:val="20"/>
              </w:rPr>
            </w:pPr>
            <w:r w:rsidDel="00000000" w:rsidR="00000000" w:rsidRPr="00000000">
              <w:rPr>
                <w:rtl w:val="0"/>
              </w:rPr>
              <w:t xml:space="preserve">Failed</w:t>
            </w:r>
            <w:r w:rsidDel="00000000" w:rsidR="00000000" w:rsidRPr="00000000">
              <w:rPr>
                <w:rtl w:val="0"/>
              </w:rPr>
            </w:r>
          </w:p>
        </w:tc>
      </w:tr>
      <w:tr>
        <w:trPr>
          <w:cantSplit w:val="0"/>
          <w:trHeight w:val="500"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03A">
            <w:pPr>
              <w:widowControl w:val="0"/>
              <w:rPr>
                <w:sz w:val="20"/>
                <w:szCs w:val="20"/>
              </w:rPr>
            </w:pPr>
            <w:r w:rsidDel="00000000" w:rsidR="00000000" w:rsidRPr="00000000">
              <w:rPr>
                <w:rtl w:val="0"/>
              </w:rPr>
              <w:t xml:space="preserve">Limits (%)</w:t>
            </w:r>
            <w:r w:rsidDel="00000000" w:rsidR="00000000" w:rsidRPr="00000000">
              <w:rPr>
                <w:rtl w:val="0"/>
              </w:rPr>
            </w:r>
          </w:p>
        </w:tc>
        <w:tc>
          <w:tcPr>
            <w:tcBorders>
              <w:top w:color="000000" w:space="0" w:sz="8" w:val="single"/>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jc w:val="center"/>
              <w:rPr>
                <w:sz w:val="20"/>
                <w:szCs w:val="20"/>
              </w:rPr>
            </w:pPr>
            <w:r w:rsidDel="00000000" w:rsidR="00000000" w:rsidRPr="00000000">
              <w:rPr>
                <w:rtl w:val="0"/>
              </w:rPr>
              <w:t xml:space="preserve">85</w:t>
            </w: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jc w:val="center"/>
              <w:rPr>
                <w:sz w:val="20"/>
                <w:szCs w:val="20"/>
              </w:rPr>
            </w:pPr>
            <w:r w:rsidDel="00000000" w:rsidR="00000000" w:rsidRPr="00000000">
              <w:rPr>
                <w:rtl w:val="0"/>
              </w:rPr>
              <w:t xml:space="preserve">70</w:t>
            </w: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jc w:val="center"/>
              <w:rPr>
                <w:sz w:val="20"/>
                <w:szCs w:val="20"/>
              </w:rPr>
            </w:pPr>
            <w:r w:rsidDel="00000000" w:rsidR="00000000" w:rsidRPr="00000000">
              <w:rPr>
                <w:rtl w:val="0"/>
              </w:rPr>
              <w:t xml:space="preserve">55</w:t>
            </w:r>
            <w:r w:rsidDel="00000000" w:rsidR="00000000" w:rsidRPr="00000000">
              <w:rPr>
                <w:rtl w:val="0"/>
              </w:rPr>
            </w:r>
          </w:p>
        </w:tc>
        <w:tc>
          <w:tcPr>
            <w:tcBorders>
              <w:top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jc w:val="center"/>
              <w:rPr>
                <w:sz w:val="20"/>
                <w:szCs w:val="20"/>
              </w:rPr>
            </w:pPr>
            <w:r w:rsidDel="00000000" w:rsidR="00000000" w:rsidRPr="00000000">
              <w:rPr>
                <w:rtl w:val="0"/>
              </w:rPr>
              <w:t xml:space="preserve">40</w:t>
            </w:r>
            <w:r w:rsidDel="00000000" w:rsidR="00000000" w:rsidRPr="00000000">
              <w:rPr>
                <w:rtl w:val="0"/>
              </w:rPr>
            </w:r>
          </w:p>
        </w:tc>
        <w:tc>
          <w:tcPr>
            <w:tcBorders>
              <w:top w:color="000000" w:space="0" w:sz="8" w:val="single"/>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jc w:val="center"/>
              <w:rPr>
                <w:sz w:val="20"/>
                <w:szCs w:val="20"/>
              </w:rPr>
            </w:pPr>
            <w:r w:rsidDel="00000000" w:rsidR="00000000" w:rsidRPr="00000000">
              <w:rPr>
                <w:rtl w:val="0"/>
              </w:rPr>
              <w:t xml:space="preserve">&lt; 40</w:t>
            </w: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4"/>
        <w:rPr/>
      </w:pPr>
      <w:bookmarkStart w:colFirst="0" w:colLast="0" w:name="_k02gjyvt83vw" w:id="5"/>
      <w:bookmarkEnd w:id="5"/>
      <w:r w:rsidDel="00000000" w:rsidR="00000000" w:rsidRPr="00000000">
        <w:rPr>
          <w:rtl w:val="0"/>
        </w:rPr>
        <w:t xml:space="preserve">Exam requirements</w:t>
      </w:r>
    </w:p>
    <w:p w:rsidR="00000000" w:rsidDel="00000000" w:rsidP="00000000" w:rsidRDefault="00000000" w:rsidRPr="00000000" w14:paraId="00000043">
      <w:pPr>
        <w:rPr/>
      </w:pPr>
      <w:r w:rsidDel="00000000" w:rsidR="00000000" w:rsidRPr="00000000">
        <w:rPr>
          <w:rtl w:val="0"/>
        </w:rPr>
        <w:t xml:space="preserve">Not applicable.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4"/>
        <w:rPr/>
      </w:pPr>
      <w:bookmarkStart w:colFirst="0" w:colLast="0" w:name="_xk5yv016rs2" w:id="6"/>
      <w:bookmarkEnd w:id="6"/>
      <w:r w:rsidDel="00000000" w:rsidR="00000000" w:rsidRPr="00000000">
        <w:rPr>
          <w:rtl w:val="0"/>
        </w:rPr>
        <w:t xml:space="preserve">Failing the requirements</w:t>
      </w:r>
    </w:p>
    <w:p w:rsidR="00000000" w:rsidDel="00000000" w:rsidP="00000000" w:rsidRDefault="00000000" w:rsidRPr="00000000" w14:paraId="00000046">
      <w:pPr>
        <w:rPr/>
      </w:pPr>
      <w:r w:rsidDel="00000000" w:rsidR="00000000" w:rsidRPr="00000000">
        <w:rPr>
          <w:rtl w:val="0"/>
        </w:rPr>
        <w:t xml:space="preserve">The Code of Studies and Examinations of the University of Pécs is applicable in general.</w:t>
      </w:r>
    </w:p>
    <w:p w:rsidR="00000000" w:rsidDel="00000000" w:rsidP="00000000" w:rsidRDefault="00000000" w:rsidRPr="00000000" w14:paraId="00000047">
      <w:pPr>
        <w:numPr>
          <w:ilvl w:val="0"/>
          <w:numId w:val="2"/>
        </w:numPr>
        <w:ind w:left="720" w:hanging="360"/>
      </w:pPr>
      <w:r w:rsidDel="00000000" w:rsidR="00000000" w:rsidRPr="00000000">
        <w:rPr>
          <w:rtl w:val="0"/>
        </w:rPr>
        <w:t xml:space="preserve">Students have one midterm test retake opportunity before the exam period.</w:t>
      </w:r>
    </w:p>
    <w:p w:rsidR="00000000" w:rsidDel="00000000" w:rsidP="00000000" w:rsidRDefault="00000000" w:rsidRPr="00000000" w14:paraId="00000048">
      <w:pPr>
        <w:numPr>
          <w:ilvl w:val="1"/>
          <w:numId w:val="2"/>
        </w:numPr>
        <w:ind w:left="1440" w:hanging="360"/>
      </w:pPr>
      <w:r w:rsidDel="00000000" w:rsidR="00000000" w:rsidRPr="00000000">
        <w:rPr>
          <w:rtl w:val="0"/>
        </w:rPr>
        <w:t xml:space="preserve">Schedule:</w:t>
        <w:tab/>
        <w:t xml:space="preserve">15th week’s lecture</w:t>
      </w:r>
    </w:p>
    <w:p w:rsidR="00000000" w:rsidDel="00000000" w:rsidP="00000000" w:rsidRDefault="00000000" w:rsidRPr="00000000" w14:paraId="00000049">
      <w:pPr>
        <w:numPr>
          <w:ilvl w:val="1"/>
          <w:numId w:val="2"/>
        </w:numPr>
        <w:ind w:left="1440" w:hanging="360"/>
      </w:pPr>
      <w:r w:rsidDel="00000000" w:rsidR="00000000" w:rsidRPr="00000000">
        <w:rPr>
          <w:rtl w:val="0"/>
        </w:rPr>
        <w:t xml:space="preserve">Format:</w:t>
        <w:tab/>
        <w:t xml:space="preserve">same as the test</w:t>
      </w:r>
    </w:p>
    <w:p w:rsidR="00000000" w:rsidDel="00000000" w:rsidP="00000000" w:rsidRDefault="00000000" w:rsidRPr="00000000" w14:paraId="0000004A">
      <w:pPr>
        <w:numPr>
          <w:ilvl w:val="0"/>
          <w:numId w:val="2"/>
        </w:numPr>
        <w:ind w:left="720" w:hanging="360"/>
      </w:pPr>
      <w:r w:rsidDel="00000000" w:rsidR="00000000" w:rsidRPr="00000000">
        <w:rPr>
          <w:rtl w:val="0"/>
        </w:rPr>
        <w:t xml:space="preserve">Students without signature have one opportunity to earn a passing midterm grade and signature in the exam period.</w:t>
      </w:r>
    </w:p>
    <w:p w:rsidR="00000000" w:rsidDel="00000000" w:rsidP="00000000" w:rsidRDefault="00000000" w:rsidRPr="00000000" w14:paraId="0000004B">
      <w:pPr>
        <w:numPr>
          <w:ilvl w:val="1"/>
          <w:numId w:val="2"/>
        </w:numPr>
        <w:ind w:left="1440" w:hanging="360"/>
      </w:pPr>
      <w:r w:rsidDel="00000000" w:rsidR="00000000" w:rsidRPr="00000000">
        <w:rPr>
          <w:rtl w:val="0"/>
        </w:rPr>
        <w:t xml:space="preserve">Schedule:</w:t>
        <w:tab/>
        <w:t xml:space="preserve">1st week of the exam period, lecture time</w:t>
      </w:r>
    </w:p>
    <w:p w:rsidR="00000000" w:rsidDel="00000000" w:rsidP="00000000" w:rsidRDefault="00000000" w:rsidRPr="00000000" w14:paraId="0000004C">
      <w:pPr>
        <w:numPr>
          <w:ilvl w:val="1"/>
          <w:numId w:val="2"/>
        </w:numPr>
        <w:ind w:left="1440" w:hanging="360"/>
      </w:pPr>
      <w:r w:rsidDel="00000000" w:rsidR="00000000" w:rsidRPr="00000000">
        <w:rPr>
          <w:rtl w:val="0"/>
        </w:rPr>
        <w:t xml:space="preserve">Format:</w:t>
        <w:tab/>
        <w:t xml:space="preserve">written test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4"/>
        <w:rPr/>
      </w:pPr>
      <w:bookmarkStart w:colFirst="0" w:colLast="0" w:name="_ls0ql3j7b2i2" w:id="7"/>
      <w:bookmarkEnd w:id="7"/>
      <w:r w:rsidDel="00000000" w:rsidR="00000000" w:rsidRPr="00000000">
        <w:rPr>
          <w:rtl w:val="0"/>
        </w:rPr>
        <w:t xml:space="preserve">Recommended literature</w:t>
      </w:r>
    </w:p>
    <w:p w:rsidR="00000000" w:rsidDel="00000000" w:rsidP="00000000" w:rsidRDefault="00000000" w:rsidRPr="00000000" w14:paraId="0000004F">
      <w:pPr>
        <w:rPr/>
      </w:pPr>
      <w:r w:rsidDel="00000000" w:rsidR="00000000" w:rsidRPr="00000000">
        <w:rPr>
          <w:rtl w:val="0"/>
        </w:rPr>
        <w:t xml:space="preserve">S. Haykin, M. Moher: Introduction to Analog and Digital Communications (2nd ed), Wiley, ISBN: 0471432229</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Official and up-to-date standards of the discussed communication protocols.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