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4994064D" w:rsidR="008E08B6" w:rsidRPr="003B62BF" w:rsidRDefault="003B62BF" w:rsidP="003B62BF">
            <w:pPr>
              <w:jc w:val="left"/>
              <w:rPr>
                <w:rFonts w:asciiTheme="majorHAnsi" w:hAnsiTheme="majorHAnsi" w:cs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Építészeti Elmélet 5. (</w:t>
            </w:r>
            <w:r w:rsidRPr="003B62BF">
              <w:rPr>
                <w:rFonts w:asciiTheme="majorHAnsi" w:hAnsiTheme="majorHAnsi" w:cstheme="minorHAnsi"/>
                <w:i w:val="0"/>
                <w:color w:val="auto"/>
                <w:sz w:val="28"/>
                <w:szCs w:val="28"/>
              </w:rPr>
              <w:t>ÉPÍTÉSZETELMÉLET</w:t>
            </w: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, teoretika)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6C45F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77777777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54F1DD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Építőművész alapszak (BA)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  <w:bookmarkStart w:id="0" w:name="_GoBack"/>
            <w:bookmarkEnd w:id="0"/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689B5900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 xml:space="preserve">kölcsönhatásai. Az építészeti koncepció fogalma. </w:t>
      </w:r>
      <w:r w:rsidRPr="00AB0258">
        <w:rPr>
          <w:rFonts w:ascii="Calibri Light" w:hAnsi="Calibri Light" w:cs="Calibri Light"/>
          <w:i/>
        </w:rPr>
        <w:t>Az építészet és az építészek szerepe a társadalomban.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08F855F0" w14:textId="597E7D47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  <w:p w14:paraId="4AF79100" w14:textId="16827E9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 társadalmi jelentőség, az építészek szerepe</w:t>
            </w:r>
          </w:p>
          <w:p w14:paraId="2B452320" w14:textId="7935344C" w:rsidR="00720EAD" w:rsidRPr="00AB0258" w:rsidRDefault="001B0534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Komplexitás az építészetben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77777777" w:rsidR="008D3575" w:rsidRPr="008D3575" w:rsidRDefault="008D3575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1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0B845191" w14:textId="77777777" w:rsid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építészelmélet fogalma, az építészeti teóriák szerepe, jelentősége</w:t>
            </w:r>
          </w:p>
          <w:p w14:paraId="409C9E1E" w14:textId="7A5E3781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36ACA80" w14:textId="0533E799" w:rsidR="00C62D52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03CA9FB4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tér fogalma, elemzése, dimenziói</w:t>
            </w:r>
          </w:p>
          <w:p w14:paraId="0F5D750A" w14:textId="04D756C3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hely, a genius loci, regionalizmus, vernakuláris építészet</w:t>
            </w:r>
          </w:p>
          <w:p w14:paraId="036E5E4B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3C2410F4" w14:textId="794AF8C3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AB0258" w:rsidRPr="00AB0258" w:rsidRDefault="00AB0258" w:rsidP="00AB0258">
            <w:r w:rsidRPr="00AB0258">
              <w:t>3.</w:t>
            </w:r>
          </w:p>
        </w:tc>
        <w:tc>
          <w:tcPr>
            <w:tcW w:w="4252" w:type="dxa"/>
          </w:tcPr>
          <w:p w14:paraId="21DB4EE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feladatok részletes ismertetése, feladatválasztás: A és B csoportok megalakulása</w:t>
            </w:r>
          </w:p>
          <w:p w14:paraId="6376909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DDA5CEB" w14:textId="77777777" w:rsidR="00AB0258" w:rsidRDefault="00AB0258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884F" w14:textId="3D2B8D65" w:rsidR="00C62D52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6A5E414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AB0258" w:rsidRPr="00AB0258" w:rsidRDefault="00AB0258" w:rsidP="00AB0258">
            <w:r w:rsidRPr="00AB0258">
              <w:t>4.</w:t>
            </w:r>
          </w:p>
        </w:tc>
        <w:tc>
          <w:tcPr>
            <w:tcW w:w="4252" w:type="dxa"/>
          </w:tcPr>
          <w:p w14:paraId="17E882FE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Szolidáris Építészet</w:t>
            </w:r>
          </w:p>
          <w:p w14:paraId="74EA28E9" w14:textId="15AC8EA1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6307731" w14:textId="4C363BB0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C597915" w14:textId="0DAFD08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AB0258" w:rsidRPr="00AB0258" w:rsidRDefault="00AB0258" w:rsidP="00AB0258">
            <w:r w:rsidRPr="00AB0258">
              <w:t>5.</w:t>
            </w:r>
          </w:p>
        </w:tc>
        <w:tc>
          <w:tcPr>
            <w:tcW w:w="4252" w:type="dxa"/>
          </w:tcPr>
          <w:p w14:paraId="73B2424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Építészet és digitalizáció</w:t>
            </w:r>
          </w:p>
          <w:p w14:paraId="08DC57AD" w14:textId="4DF60F3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81C3D20" w14:textId="579CA9AD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E61ADB9" w14:textId="2CDF2C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AB0258" w:rsidRPr="00AB0258" w:rsidRDefault="00AB0258" w:rsidP="00AB0258">
            <w:r w:rsidRPr="00AB0258">
              <w:t>6.</w:t>
            </w:r>
          </w:p>
        </w:tc>
        <w:tc>
          <w:tcPr>
            <w:tcW w:w="4252" w:type="dxa"/>
          </w:tcPr>
          <w:p w14:paraId="24338B55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379FC107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77777777" w:rsidR="00AB0258" w:rsidRPr="00AB0258" w:rsidRDefault="00AB0258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B8DFFE8" w14:textId="08CB32D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AB0258" w:rsidRPr="00AB0258" w:rsidRDefault="00AB0258" w:rsidP="00AB0258">
            <w:r w:rsidRPr="00AB0258">
              <w:t>7.</w:t>
            </w:r>
          </w:p>
        </w:tc>
        <w:tc>
          <w:tcPr>
            <w:tcW w:w="4252" w:type="dxa"/>
          </w:tcPr>
          <w:p w14:paraId="2FEE2FBF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Teóriatörténet</w:t>
            </w:r>
          </w:p>
          <w:p w14:paraId="185B080B" w14:textId="18A5E92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30262A6A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5F81B2E2" w14:textId="7669A15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AB0258" w:rsidRPr="00AB0258" w:rsidRDefault="00AB0258" w:rsidP="00AB0258">
            <w:r w:rsidRPr="00AB0258">
              <w:t>8.</w:t>
            </w:r>
          </w:p>
        </w:tc>
        <w:tc>
          <w:tcPr>
            <w:tcW w:w="4252" w:type="dxa"/>
          </w:tcPr>
          <w:p w14:paraId="2A9098BD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koncepció jelentősége</w:t>
            </w:r>
          </w:p>
          <w:p w14:paraId="5A143ADC" w14:textId="5FAA7D2A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4335F2CF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AB0258" w:rsidRPr="00AB0258" w:rsidRDefault="00AB0258" w:rsidP="00AB0258">
            <w:r w:rsidRPr="00AB0258">
              <w:t>9.</w:t>
            </w:r>
          </w:p>
        </w:tc>
        <w:tc>
          <w:tcPr>
            <w:tcW w:w="4252" w:type="dxa"/>
          </w:tcPr>
          <w:p w14:paraId="2183BAB7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TAVASZI SZÜNET</w:t>
            </w:r>
          </w:p>
          <w:p w14:paraId="2E20334A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245C6511" w14:textId="20829727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AB0258" w:rsidRPr="00AB0258" w:rsidRDefault="00AB0258" w:rsidP="00AB0258">
            <w:r w:rsidRPr="00AB0258">
              <w:t>10.</w:t>
            </w:r>
          </w:p>
        </w:tc>
        <w:tc>
          <w:tcPr>
            <w:tcW w:w="4252" w:type="dxa"/>
          </w:tcPr>
          <w:p w14:paraId="0172FDF9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0E7F400" w14:textId="49B6B60D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D887465" w14:textId="4CED7B8C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AB0258" w:rsidRPr="00AB0258" w:rsidRDefault="00AB0258" w:rsidP="00AB0258">
            <w:r w:rsidRPr="00AB0258">
              <w:t>11.</w:t>
            </w:r>
          </w:p>
        </w:tc>
        <w:tc>
          <w:tcPr>
            <w:tcW w:w="4252" w:type="dxa"/>
          </w:tcPr>
          <w:p w14:paraId="26F24FFB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Környezetpszichológia</w:t>
            </w:r>
          </w:p>
          <w:p w14:paraId="6AF85C7E" w14:textId="0840546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0148E1" w14:textId="07B0C1EC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D55CA5D" w14:textId="368C74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AB0258" w:rsidRPr="00AB0258" w:rsidRDefault="00AB0258" w:rsidP="00AB0258">
            <w:r w:rsidRPr="00AB0258">
              <w:t>12.</w:t>
            </w:r>
          </w:p>
        </w:tc>
        <w:tc>
          <w:tcPr>
            <w:tcW w:w="4252" w:type="dxa"/>
          </w:tcPr>
          <w:p w14:paraId="5E5BD681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konzultációja. ’B’ feladtok</w:t>
            </w:r>
          </w:p>
          <w:p w14:paraId="3A7993CE" w14:textId="38F306E2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28637C1D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4BE748F7" w14:textId="456E504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AB0258" w:rsidRPr="00AB0258" w:rsidRDefault="00AB0258" w:rsidP="00AB0258">
            <w:r w:rsidRPr="00AB0258">
              <w:t>13.</w:t>
            </w:r>
          </w:p>
        </w:tc>
        <w:tc>
          <w:tcPr>
            <w:tcW w:w="4252" w:type="dxa"/>
          </w:tcPr>
          <w:p w14:paraId="373836A2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75DCB7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4453BF11" w14:textId="0B9D3589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24169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824169" w:rsidRPr="00AB0258" w:rsidRDefault="00824169" w:rsidP="00824169">
            <w:r w:rsidRPr="00AB0258">
              <w:t>14.</w:t>
            </w:r>
          </w:p>
        </w:tc>
        <w:tc>
          <w:tcPr>
            <w:tcW w:w="4252" w:type="dxa"/>
          </w:tcPr>
          <w:p w14:paraId="7E3D8107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BEADÁSA</w:t>
            </w:r>
          </w:p>
          <w:p w14:paraId="188BDB36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pótkonzultációja. ’A’ és ’B’ feladtok</w:t>
            </w:r>
          </w:p>
          <w:p w14:paraId="5EC6856E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0F9AC33" w14:textId="291B89CF" w:rsidR="00824169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0A6AFC6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FCED6" w14:textId="2BCD5E48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14:paraId="2A697C2C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EA4F5" w14:textId="0C621919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2023.05.09.</w:t>
            </w:r>
          </w:p>
        </w:tc>
      </w:tr>
      <w:tr w:rsidR="00824169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824169" w:rsidRPr="00AB0258" w:rsidRDefault="00824169" w:rsidP="00824169">
            <w:r w:rsidRPr="00AB0258">
              <w:t>15.</w:t>
            </w:r>
          </w:p>
        </w:tc>
        <w:tc>
          <w:tcPr>
            <w:tcW w:w="4252" w:type="dxa"/>
          </w:tcPr>
          <w:p w14:paraId="48656F39" w14:textId="77777777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 társadalmi jelentősége</w:t>
            </w:r>
          </w:p>
          <w:p w14:paraId="267E5581" w14:textId="588148AB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PÓTBEADÁSA</w:t>
            </w:r>
          </w:p>
        </w:tc>
        <w:tc>
          <w:tcPr>
            <w:tcW w:w="1985" w:type="dxa"/>
          </w:tcPr>
          <w:p w14:paraId="57A2EDD5" w14:textId="230C4298" w:rsidR="00824169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1D5CF1C" w14:textId="77777777" w:rsidR="00824169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0E6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féléves feladat pótbeadása:</w:t>
            </w:r>
          </w:p>
          <w:p w14:paraId="208AF885" w14:textId="1DEFE60D" w:rsidR="00AB0258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3047B02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CCEA0" w14:textId="4ED10047" w:rsidR="00824169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2023.05.16.</w:t>
            </w:r>
          </w:p>
        </w:tc>
      </w:tr>
      <w:bookmarkEnd w:id="1"/>
    </w:tbl>
    <w:p w14:paraId="10F2D226" w14:textId="7C527064" w:rsidR="00EC5287" w:rsidRDefault="00EC5287" w:rsidP="005C08F1">
      <w:pPr>
        <w:rPr>
          <w:b/>
          <w:bCs/>
        </w:rPr>
      </w:pPr>
    </w:p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45AAC149" w14:textId="42C5F1D9" w:rsidR="008D3575" w:rsidRDefault="008D3575" w:rsidP="008E08B6">
      <w:pPr>
        <w:ind w:left="708" w:firstLine="2"/>
        <w:rPr>
          <w:b/>
          <w:bCs/>
        </w:rPr>
      </w:pPr>
    </w:p>
    <w:p w14:paraId="3EDBF3FD" w14:textId="172C08CE" w:rsidR="008D3575" w:rsidRDefault="008D3575" w:rsidP="008E08B6">
      <w:pPr>
        <w:ind w:left="708" w:firstLine="2"/>
        <w:rPr>
          <w:b/>
          <w:bCs/>
        </w:rPr>
      </w:pPr>
    </w:p>
    <w:p w14:paraId="0F5A7CCA" w14:textId="1D71FC78" w:rsidR="008D3575" w:rsidRDefault="008D3575" w:rsidP="008E08B6">
      <w:pPr>
        <w:ind w:left="708" w:firstLine="2"/>
        <w:rPr>
          <w:b/>
          <w:bCs/>
        </w:rPr>
      </w:pPr>
    </w:p>
    <w:p w14:paraId="38EF4C14" w14:textId="7961B26E" w:rsidR="008D3575" w:rsidRDefault="008D3575" w:rsidP="008E08B6">
      <w:pPr>
        <w:ind w:left="708" w:firstLine="2"/>
        <w:rPr>
          <w:b/>
          <w:bCs/>
        </w:rPr>
      </w:pPr>
    </w:p>
    <w:p w14:paraId="3407287D" w14:textId="11A90713" w:rsidR="008D3575" w:rsidRDefault="008D3575" w:rsidP="008E08B6">
      <w:pPr>
        <w:ind w:left="708" w:firstLine="2"/>
        <w:rPr>
          <w:b/>
          <w:bCs/>
        </w:rPr>
      </w:pP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62273B6D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vizsgajegy 60% -ban az elméleti tudás számonkéréséből, 40%-ban a féléves feladat eredményből áll. Mindkét esetben a tantárgy teljesítésének feltétele az egyenkénti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Pr="00AB0258" w:rsidRDefault="00E15443" w:rsidP="00E15443"/>
    <w:p w14:paraId="09A453A3" w14:textId="1643A630" w:rsidR="00E15443" w:rsidRPr="00AB0258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2E03B4A0" w14:textId="77777777" w:rsidR="00BA45EC" w:rsidRPr="00AB0258" w:rsidRDefault="00BA45EC" w:rsidP="00BA45EC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i/>
        </w:rPr>
        <w:t>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637494" w:rsidRPr="00AB0258" w14:paraId="4209D4DB" w14:textId="77777777" w:rsidTr="008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2" w:name="_Hlk108820255"/>
            <w:r w:rsidRPr="00AB0258">
              <w:t>a vizsgára bocsájtás feltételének minősítésben</w:t>
            </w:r>
            <w:bookmarkEnd w:id="2"/>
          </w:p>
        </w:tc>
      </w:tr>
      <w:tr w:rsidR="00BE5153" w:rsidRPr="00AB0258" w14:paraId="10AAA311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E379B9F" w14:textId="1EBB6DF9" w:rsidR="00BE5153" w:rsidRPr="00AB0258" w:rsidRDefault="009D20D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05C868C" w14:textId="77777777" w:rsidR="008D3575" w:rsidRDefault="008D3575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4177148F" w:rsidR="00BE5153" w:rsidRPr="00AB0258" w:rsidRDefault="009D20D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8A25F1B" w:rsidR="00BE5153" w:rsidRPr="00AB0258" w:rsidRDefault="009D20DE" w:rsidP="008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="00BE5153"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4D415E1D" w14:textId="3665D0C8" w:rsidR="008E1B25" w:rsidRPr="00C62D52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 xml:space="preserve">, 2023. 05.09-ig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teljesítse.</w:t>
      </w:r>
    </w:p>
    <w:p w14:paraId="0F9EC07A" w14:textId="4927E281" w:rsidR="001F4310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50§(2))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7B076B8F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 féléves feladat pótleadása a szorgalmi időszakban, a 15. héten, 2023. 05.16-án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3A36F89" w14:textId="33F5FA9C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a 16. héten, 2023. 05. 23-án van lehetőség.</w:t>
      </w:r>
    </w:p>
    <w:p w14:paraId="1A4624F7" w14:textId="77777777" w:rsidR="00C026C1" w:rsidRPr="00AB0258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AB0258" w:rsidRDefault="00C026C1" w:rsidP="006F6DF8">
      <w:pPr>
        <w:ind w:left="708"/>
      </w:pPr>
    </w:p>
    <w:p w14:paraId="381C3377" w14:textId="365D6432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szóbeli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764BD49A" w14:textId="77777777" w:rsidR="00841E8E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2CFF8C38" w14:textId="0EC4177D" w:rsidR="003E6E3D" w:rsidRPr="00841E8E" w:rsidRDefault="00841E8E" w:rsidP="00841E8E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előadások végén, un. papíron lévő kérdések közül kell a vizsgán 3 rövid kifejtő kérdést húzni. A választ a hallgató 10 perc felkészülési idő után szóban ismer</w:t>
      </w:r>
      <w:r w:rsidR="00E57812">
        <w:rPr>
          <w:i/>
          <w:iCs/>
        </w:rPr>
        <w:t>t</w:t>
      </w:r>
      <w:r>
        <w:rPr>
          <w:i/>
          <w:iCs/>
        </w:rPr>
        <w:t xml:space="preserve">eti. A vizsga második felében a saját féléves feladat kapcsán feltett kérdésekre kell válaszolni.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C3A85F3" w:rsidR="008305B9" w:rsidRPr="00AB0258" w:rsidRDefault="00841E8E" w:rsidP="008D3575">
      <w:r>
        <w:t>40%-b</w:t>
      </w:r>
      <w:r w:rsidR="008305B9" w:rsidRPr="00AB0258">
        <w:t>an az évközi teljesítmény</w:t>
      </w:r>
      <w:r>
        <w:t>, 60%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1F2B7183" w14:textId="77777777" w:rsidR="008305B9" w:rsidRPr="00AB0258" w:rsidRDefault="008305B9" w:rsidP="006B1184">
      <w:pPr>
        <w:ind w:left="1559" w:hanging="851"/>
        <w:rPr>
          <w:rStyle w:val="Finomkiemels"/>
          <w:b/>
          <w:bCs/>
        </w:rPr>
      </w:pPr>
    </w:p>
    <w:p w14:paraId="18D811D6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53A9ACF3" w14:textId="2F5CB5C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12B6626C" w14:textId="79EA7584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32AB3035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47EE41BF" w14:textId="3430EABA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74AC7D2D" w14:textId="77777777" w:rsidR="00866254" w:rsidRPr="00AB0258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13206AE3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285EB8E7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1C796210" w14:textId="77777777" w:rsidR="008D3575" w:rsidRDefault="008D3575" w:rsidP="004348FE">
      <w:pPr>
        <w:spacing w:before="200"/>
      </w:pPr>
      <w:r>
        <w:t xml:space="preserve"> </w:t>
      </w: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2D7F" w14:textId="77777777" w:rsidR="006B1794" w:rsidRDefault="006B1794" w:rsidP="00AD4BC7">
      <w:r>
        <w:separator/>
      </w:r>
    </w:p>
  </w:endnote>
  <w:endnote w:type="continuationSeparator" w:id="0">
    <w:p w14:paraId="5F9AFF47" w14:textId="77777777" w:rsidR="006B1794" w:rsidRDefault="006B179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BF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2684" w14:textId="77777777" w:rsidR="006B1794" w:rsidRDefault="006B1794" w:rsidP="00AD4BC7">
      <w:r>
        <w:separator/>
      </w:r>
    </w:p>
  </w:footnote>
  <w:footnote w:type="continuationSeparator" w:id="0">
    <w:p w14:paraId="7B76B3A6" w14:textId="77777777" w:rsidR="006B1794" w:rsidRDefault="006B179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2BF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4547"/>
    <w:rsid w:val="006972DA"/>
    <w:rsid w:val="006B1184"/>
    <w:rsid w:val="006B179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4C49D-6761-4572-B74E-C765A24A9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729FF-1BB2-4622-8DAD-B48DC3258606}"/>
</file>

<file path=customXml/itemProps3.xml><?xml version="1.0" encoding="utf-8"?>
<ds:datastoreItem xmlns:ds="http://schemas.openxmlformats.org/officeDocument/2006/customXml" ds:itemID="{474A8CEB-9F11-4DE5-99E9-E7C49ADAC591}"/>
</file>

<file path=customXml/itemProps4.xml><?xml version="1.0" encoding="utf-8"?>
<ds:datastoreItem xmlns:ds="http://schemas.openxmlformats.org/officeDocument/2006/customXml" ds:itemID="{FD756E79-2F28-4CA3-ADC1-087AC559E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1089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Windows-felhasználó</cp:lastModifiedBy>
  <cp:revision>6</cp:revision>
  <dcterms:created xsi:type="dcterms:W3CDTF">2023-01-26T21:59:00Z</dcterms:created>
  <dcterms:modified xsi:type="dcterms:W3CDTF">2023-02-02T11:24:00Z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