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E4" w:rsidRPr="00EC7213" w:rsidRDefault="00E30CE4" w:rsidP="00E30CE4">
      <w:pPr>
        <w:jc w:val="right"/>
        <w:rPr>
          <w:b/>
          <w:bCs/>
          <w:i/>
          <w:iCs/>
        </w:rPr>
      </w:pPr>
      <w:bookmarkStart w:id="0" w:name="_GoBack"/>
      <w:bookmarkEnd w:id="0"/>
      <w:r w:rsidRPr="00EC7213">
        <w:rPr>
          <w:b/>
          <w:bCs/>
          <w:i/>
          <w:iCs/>
        </w:rPr>
        <w:t>1</w:t>
      </w:r>
      <w:proofErr w:type="gramStart"/>
      <w:r w:rsidRPr="00EC7213">
        <w:rPr>
          <w:b/>
          <w:bCs/>
          <w:i/>
          <w:iCs/>
        </w:rPr>
        <w:t>.sz.</w:t>
      </w:r>
      <w:proofErr w:type="gramEnd"/>
      <w:r w:rsidRPr="00EC7213">
        <w:rPr>
          <w:b/>
          <w:bCs/>
          <w:i/>
          <w:iCs/>
        </w:rPr>
        <w:t xml:space="preserve"> Melléklet</w:t>
      </w:r>
    </w:p>
    <w:p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582587">
        <w:rPr>
          <w:lang w:val="en-US"/>
        </w:rPr>
        <w:t>2022</w:t>
      </w:r>
      <w:r w:rsidR="00647A74" w:rsidRPr="00CE73E0">
        <w:rPr>
          <w:lang w:val="en-US"/>
        </w:rPr>
        <w:t>/</w:t>
      </w:r>
      <w:r w:rsidR="00582587">
        <w:rPr>
          <w:lang w:val="en-US"/>
        </w:rPr>
        <w:t>2023 1.</w:t>
      </w:r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/>
      </w:tblPr>
      <w:tblGrid>
        <w:gridCol w:w="3711"/>
        <w:gridCol w:w="6683"/>
      </w:tblGrid>
      <w:tr w:rsidR="00637494" w:rsidRPr="00637494" w:rsidTr="00A72E36">
        <w:trPr>
          <w:cnfStyle w:val="100000000000"/>
        </w:trPr>
        <w:tc>
          <w:tcPr>
            <w:cnfStyle w:val="0010000001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/>
            <w:tcW w:w="3215" w:type="pct"/>
          </w:tcPr>
          <w:p w:rsidR="00AD4BC7" w:rsidRPr="00B318F7" w:rsidRDefault="00D634C7" w:rsidP="00B40C80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proofErr w:type="spellStart"/>
            <w:r w:rsidRPr="00D634C7">
              <w:rPr>
                <w:color w:val="auto"/>
              </w:rPr>
              <w:t>Elosztóhálózati</w:t>
            </w:r>
            <w:proofErr w:type="spellEnd"/>
            <w:r w:rsidRPr="00D634C7">
              <w:rPr>
                <w:color w:val="auto"/>
              </w:rPr>
              <w:t xml:space="preserve"> munkavégzés követelményei</w:t>
            </w:r>
          </w:p>
        </w:tc>
      </w:tr>
      <w:tr w:rsidR="00637494" w:rsidRPr="006374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/>
            <w:tcW w:w="3215" w:type="pct"/>
          </w:tcPr>
          <w:p w:rsidR="00AD4BC7" w:rsidRPr="00B318F7" w:rsidRDefault="00680E2C" w:rsidP="00281EF6">
            <w:pPr>
              <w:rPr>
                <w:rFonts w:asciiTheme="majorHAnsi" w:hAnsiTheme="majorHAnsi"/>
                <w:b/>
                <w:color w:val="auto"/>
              </w:rPr>
            </w:pPr>
            <w:r w:rsidRPr="00680E2C">
              <w:rPr>
                <w:rFonts w:asciiTheme="majorHAnsi" w:hAnsiTheme="majorHAnsi"/>
                <w:b/>
                <w:color w:val="auto"/>
              </w:rPr>
              <w:t>SZB040MN-GY-01</w:t>
            </w:r>
          </w:p>
        </w:tc>
      </w:tr>
      <w:tr w:rsidR="00637494" w:rsidRPr="00637494" w:rsidTr="00A72E36"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/>
            <w:tcW w:w="3215" w:type="pct"/>
          </w:tcPr>
          <w:p w:rsidR="00AD4BC7" w:rsidRPr="00B318F7" w:rsidRDefault="00B318F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B318F7">
              <w:rPr>
                <w:rFonts w:asciiTheme="majorHAnsi" w:hAnsiTheme="majorHAnsi"/>
                <w:b/>
                <w:color w:val="auto"/>
              </w:rPr>
              <w:t xml:space="preserve">2 </w:t>
            </w:r>
            <w:proofErr w:type="spellStart"/>
            <w:r w:rsidRPr="00B318F7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Pr="00B318F7">
              <w:rPr>
                <w:rFonts w:asciiTheme="majorHAnsi" w:hAnsiTheme="majorHAnsi"/>
                <w:b/>
                <w:color w:val="auto"/>
              </w:rPr>
              <w:t xml:space="preserve">, 0 </w:t>
            </w:r>
            <w:proofErr w:type="spellStart"/>
            <w:r w:rsidRPr="00B318F7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Pr="00B318F7">
              <w:rPr>
                <w:rFonts w:asciiTheme="majorHAnsi" w:hAnsiTheme="majorHAnsi"/>
                <w:b/>
                <w:color w:val="auto"/>
              </w:rPr>
              <w:t xml:space="preserve">, 0 </w:t>
            </w:r>
            <w:proofErr w:type="spellStart"/>
            <w:r w:rsidRPr="00B318F7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</w:tr>
      <w:tr w:rsidR="00637494" w:rsidRPr="006374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/>
            <w:tcW w:w="3215" w:type="pct"/>
          </w:tcPr>
          <w:p w:rsidR="00AD4BC7" w:rsidRPr="00B318F7" w:rsidRDefault="00B318F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B318F7">
              <w:rPr>
                <w:rFonts w:asciiTheme="majorHAnsi" w:hAnsiTheme="majorHAnsi"/>
                <w:b/>
                <w:color w:val="auto"/>
              </w:rPr>
              <w:t>2</w:t>
            </w:r>
          </w:p>
        </w:tc>
      </w:tr>
      <w:tr w:rsidR="00637494" w:rsidRPr="00637494" w:rsidTr="00A72E36"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Szak(</w:t>
            </w:r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ok)/ típus</w:t>
            </w:r>
          </w:p>
        </w:tc>
        <w:tc>
          <w:tcPr>
            <w:cnfStyle w:val="000100000000"/>
            <w:tcW w:w="3215" w:type="pct"/>
          </w:tcPr>
          <w:p w:rsidR="00AD4BC7" w:rsidRPr="00B318F7" w:rsidRDefault="00B318F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B318F7">
              <w:rPr>
                <w:b/>
              </w:rPr>
              <w:t xml:space="preserve">Villamosmérnök, </w:t>
            </w:r>
            <w:proofErr w:type="gramStart"/>
            <w:r w:rsidRPr="00B318F7">
              <w:rPr>
                <w:b/>
              </w:rPr>
              <w:t>alapszak(</w:t>
            </w:r>
            <w:proofErr w:type="spellStart"/>
            <w:proofErr w:type="gramEnd"/>
            <w:r w:rsidRPr="00B318F7">
              <w:rPr>
                <w:b/>
              </w:rPr>
              <w:t>BSc</w:t>
            </w:r>
            <w:proofErr w:type="spellEnd"/>
            <w:r w:rsidRPr="00B318F7">
              <w:rPr>
                <w:b/>
              </w:rPr>
              <w:t>)/ SZ</w:t>
            </w:r>
          </w:p>
        </w:tc>
      </w:tr>
      <w:tr w:rsidR="00637494" w:rsidRPr="006374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/>
            <w:tcW w:w="3215" w:type="pct"/>
          </w:tcPr>
          <w:p w:rsidR="00AD4BC7" w:rsidRPr="00B318F7" w:rsidRDefault="00680E2C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</w:t>
            </w:r>
            <w:r w:rsidR="00B318F7">
              <w:rPr>
                <w:rFonts w:asciiTheme="majorHAnsi" w:hAnsiTheme="majorHAnsi"/>
                <w:b/>
                <w:iCs w:val="0"/>
                <w:color w:val="auto"/>
              </w:rPr>
              <w:t>appali</w:t>
            </w:r>
          </w:p>
        </w:tc>
      </w:tr>
      <w:tr w:rsidR="00637494" w:rsidRPr="00637494" w:rsidTr="00A72E36"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/>
            <w:tcW w:w="3215" w:type="pct"/>
          </w:tcPr>
          <w:p w:rsidR="00AD4BC7" w:rsidRPr="00B318F7" w:rsidRDefault="00784985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vizsga</w:t>
            </w:r>
          </w:p>
        </w:tc>
      </w:tr>
      <w:tr w:rsidR="00637494" w:rsidRPr="006374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/>
            <w:tcW w:w="3215" w:type="pct"/>
          </w:tcPr>
          <w:p w:rsidR="00AD4BC7" w:rsidRPr="00B318F7" w:rsidRDefault="00D634C7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tavaszi</w:t>
            </w:r>
          </w:p>
        </w:tc>
      </w:tr>
      <w:tr w:rsidR="00637494" w:rsidRPr="00637494" w:rsidTr="00A72E36"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Előzetes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követelmény(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/>
            <w:tcW w:w="3215" w:type="pct"/>
          </w:tcPr>
          <w:p w:rsidR="00AD4BC7" w:rsidRPr="00B318F7" w:rsidRDefault="00784985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-</w:t>
            </w:r>
          </w:p>
        </w:tc>
      </w:tr>
      <w:tr w:rsidR="00637494" w:rsidRPr="006374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Oktató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tanszék(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/>
            <w:tcW w:w="3215" w:type="pct"/>
          </w:tcPr>
          <w:p w:rsidR="00AD4BC7" w:rsidRPr="00B318F7" w:rsidRDefault="00B318F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B318F7">
              <w:rPr>
                <w:rFonts w:asciiTheme="majorHAnsi" w:hAnsiTheme="majorHAnsi"/>
                <w:b/>
                <w:color w:val="auto"/>
              </w:rPr>
              <w:t>E</w:t>
            </w:r>
            <w:proofErr w:type="gramStart"/>
            <w:r w:rsidRPr="00B318F7">
              <w:rPr>
                <w:rFonts w:asciiTheme="majorHAnsi" w:hAnsiTheme="majorHAnsi"/>
                <w:b/>
                <w:color w:val="auto"/>
              </w:rPr>
              <w:t>.ON</w:t>
            </w:r>
            <w:proofErr w:type="gramEnd"/>
            <w:r w:rsidRPr="00B318F7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Pr="00B318F7">
              <w:rPr>
                <w:rFonts w:asciiTheme="majorHAnsi" w:hAnsiTheme="majorHAnsi"/>
                <w:b/>
                <w:color w:val="auto"/>
              </w:rPr>
              <w:t>Villamosenergetikai</w:t>
            </w:r>
            <w:proofErr w:type="spellEnd"/>
            <w:r w:rsidRPr="00B318F7">
              <w:rPr>
                <w:rFonts w:asciiTheme="majorHAnsi" w:hAnsiTheme="majorHAnsi"/>
                <w:b/>
                <w:color w:val="auto"/>
              </w:rPr>
              <w:t xml:space="preserve"> külső tanszék</w:t>
            </w:r>
          </w:p>
        </w:tc>
      </w:tr>
      <w:tr w:rsidR="00637494" w:rsidRPr="00637494" w:rsidTr="00A72E36">
        <w:tc>
          <w:tcPr>
            <w:cnfStyle w:val="001000000000"/>
            <w:tcW w:w="1785" w:type="pct"/>
          </w:tcPr>
          <w:p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/>
            <w:tcW w:w="3215" w:type="pct"/>
          </w:tcPr>
          <w:p w:rsidR="00AD4BC7" w:rsidRPr="00B318F7" w:rsidRDefault="00B318F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B318F7">
              <w:rPr>
                <w:rFonts w:asciiTheme="majorHAnsi" w:hAnsiTheme="majorHAnsi"/>
                <w:b/>
                <w:color w:val="auto"/>
              </w:rPr>
              <w:t xml:space="preserve">Dr. </w:t>
            </w:r>
            <w:proofErr w:type="spellStart"/>
            <w:r w:rsidRPr="00B318F7">
              <w:rPr>
                <w:rFonts w:asciiTheme="majorHAnsi" w:hAnsiTheme="majorHAnsi"/>
                <w:b/>
                <w:color w:val="auto"/>
              </w:rPr>
              <w:t>Kvasznicza</w:t>
            </w:r>
            <w:proofErr w:type="spellEnd"/>
            <w:r w:rsidRPr="00B318F7">
              <w:rPr>
                <w:rFonts w:asciiTheme="majorHAnsi" w:hAnsiTheme="majorHAnsi"/>
                <w:b/>
                <w:color w:val="auto"/>
              </w:rPr>
              <w:t xml:space="preserve"> Zoltán</w:t>
            </w:r>
          </w:p>
        </w:tc>
      </w:tr>
      <w:tr w:rsidR="00637494" w:rsidRPr="00637494" w:rsidTr="00A72E36">
        <w:trPr>
          <w:cnfStyle w:val="000000100000"/>
        </w:trPr>
        <w:tc>
          <w:tcPr>
            <w:cnfStyle w:val="001000000000"/>
            <w:tcW w:w="1785" w:type="pct"/>
          </w:tcPr>
          <w:p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/>
            <w:tcW w:w="3215" w:type="pct"/>
          </w:tcPr>
          <w:p w:rsidR="006643D3" w:rsidRPr="00B318F7" w:rsidRDefault="00B318F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B318F7">
              <w:rPr>
                <w:rFonts w:asciiTheme="majorHAnsi" w:hAnsiTheme="majorHAnsi"/>
                <w:b/>
                <w:color w:val="auto"/>
              </w:rPr>
              <w:t>Tárnai Ferenc</w:t>
            </w:r>
          </w:p>
        </w:tc>
      </w:tr>
      <w:tr w:rsidR="00637494" w:rsidRPr="00637494" w:rsidTr="00A72E36">
        <w:trPr>
          <w:cnfStyle w:val="010000000000"/>
        </w:trPr>
        <w:tc>
          <w:tcPr>
            <w:cnfStyle w:val="001000000001"/>
            <w:tcW w:w="1785" w:type="pct"/>
          </w:tcPr>
          <w:p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/>
            <w:tcW w:w="3215" w:type="pct"/>
          </w:tcPr>
          <w:p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:rsidR="00BE0BC5" w:rsidRPr="00637494" w:rsidRDefault="00D634C7" w:rsidP="00850C07">
      <w:pPr>
        <w:suppressAutoHyphens/>
        <w:rPr>
          <w:i/>
          <w:iCs/>
        </w:rPr>
      </w:pPr>
      <w:r w:rsidRPr="00784985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A különböző típusú </w:t>
      </w: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>e</w:t>
      </w:r>
      <w:r w:rsidRPr="00D634C7">
        <w:rPr>
          <w:rFonts w:asciiTheme="majorHAnsi" w:eastAsia="Times New Roman" w:hAnsiTheme="majorHAnsi" w:cstheme="majorHAnsi"/>
          <w:sz w:val="24"/>
          <w:szCs w:val="24"/>
          <w:lang w:eastAsia="hu-HU"/>
        </w:rPr>
        <w:t>losztói hálózatok létesítéséhez, üzemeltetéséhez kapcsolódó munkavédelmi előírások, szabályozások megismerése.</w:t>
      </w:r>
    </w:p>
    <w:p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:rsidR="00D649DA" w:rsidRDefault="000C72BC" w:rsidP="00D649DA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:rsidR="00784985" w:rsidRDefault="00784985" w:rsidP="00D649DA">
      <w:pPr>
        <w:rPr>
          <w:i/>
          <w:iCs/>
          <w:sz w:val="16"/>
          <w:szCs w:val="16"/>
        </w:rPr>
      </w:pPr>
    </w:p>
    <w:p w:rsidR="00784985" w:rsidRPr="00637494" w:rsidRDefault="00784985" w:rsidP="00D649DA">
      <w:pPr>
        <w:rPr>
          <w:lang w:val="en-US"/>
        </w:rPr>
      </w:pPr>
    </w:p>
    <w:p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:rsidR="00784985" w:rsidRPr="00784985" w:rsidRDefault="00D634C7" w:rsidP="00784985">
      <w:pPr>
        <w:jc w:val="left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D634C7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Villamos berendezések üzemeltetésével kapcsolatos </w:t>
      </w: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jogszabályi és szabványkövetelmények </w:t>
      </w:r>
      <w:r w:rsidRPr="00D634C7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megismerése. Üzemelő hálózatokon, </w:t>
      </w:r>
      <w:proofErr w:type="spellStart"/>
      <w:r w:rsidRPr="00D634C7">
        <w:rPr>
          <w:rFonts w:asciiTheme="majorHAnsi" w:eastAsia="Times New Roman" w:hAnsiTheme="majorHAnsi" w:cstheme="majorHAnsi"/>
          <w:sz w:val="24"/>
          <w:szCs w:val="24"/>
          <w:lang w:eastAsia="hu-HU"/>
        </w:rPr>
        <w:t>alállomásokban</w:t>
      </w:r>
      <w:proofErr w:type="spellEnd"/>
      <w:r w:rsidRPr="00D634C7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végrehajtandó kapcsolási és feszültségmentesítési folyamat</w:t>
      </w: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>o</w:t>
      </w:r>
      <w:r w:rsidRPr="00D634C7">
        <w:rPr>
          <w:rFonts w:asciiTheme="majorHAnsi" w:eastAsia="Times New Roman" w:hAnsiTheme="majorHAnsi" w:cstheme="majorHAnsi"/>
          <w:sz w:val="24"/>
          <w:szCs w:val="24"/>
          <w:lang w:eastAsia="hu-HU"/>
        </w:rPr>
        <w:t>k megismerése. Létesítési, üzemeltetési technológiákhoz kapcsolódó munkavédelmi ismeretek. Magasba</w:t>
      </w: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>n történő munkavégzés eszközeinek és biztonsági</w:t>
      </w:r>
      <w:r w:rsidR="00784985" w:rsidRPr="00784985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követelménye</w:t>
      </w: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>ine</w:t>
      </w:r>
      <w:r w:rsidR="00784985" w:rsidRPr="00784985">
        <w:rPr>
          <w:rFonts w:asciiTheme="majorHAnsi" w:eastAsia="Times New Roman" w:hAnsiTheme="majorHAnsi" w:cstheme="majorHAnsi"/>
          <w:sz w:val="24"/>
          <w:szCs w:val="24"/>
          <w:lang w:eastAsia="hu-HU"/>
        </w:rPr>
        <w:t>k megismerése.</w:t>
      </w:r>
    </w:p>
    <w:p w:rsidR="00576376" w:rsidRDefault="00576376" w:rsidP="00576376">
      <w:pPr>
        <w:rPr>
          <w:lang w:val="en-US"/>
        </w:rPr>
      </w:pPr>
    </w:p>
    <w:p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PlainTable3"/>
        <w:tblW w:w="10348" w:type="dxa"/>
        <w:tblInd w:w="142" w:type="dxa"/>
        <w:tblLayout w:type="fixed"/>
        <w:tblLook w:val="04A0"/>
      </w:tblPr>
      <w:tblGrid>
        <w:gridCol w:w="1843"/>
        <w:gridCol w:w="8505"/>
      </w:tblGrid>
      <w:tr w:rsidR="00637494" w:rsidRPr="00637494" w:rsidTr="001F4310">
        <w:trPr>
          <w:cnfStyle w:val="100000000000"/>
        </w:trPr>
        <w:tc>
          <w:tcPr>
            <w:cnfStyle w:val="001000000100"/>
            <w:tcW w:w="1843" w:type="dxa"/>
            <w:shd w:val="clear" w:color="auto" w:fill="auto"/>
          </w:tcPr>
          <w:p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:rsidR="00720EAD" w:rsidRPr="003E046B" w:rsidRDefault="00720EAD" w:rsidP="00052842">
            <w:pPr>
              <w:keepNext/>
              <w:jc w:val="center"/>
              <w:cnfStyle w:val="10000000000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:rsidTr="001F4310">
        <w:trPr>
          <w:cnfStyle w:val="000000100000"/>
        </w:trPr>
        <w:tc>
          <w:tcPr>
            <w:cnfStyle w:val="001000000000"/>
            <w:tcW w:w="1843" w:type="dxa"/>
            <w:shd w:val="clear" w:color="auto" w:fill="auto"/>
          </w:tcPr>
          <w:p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:rsidR="005F2384" w:rsidRPr="00D634C7" w:rsidRDefault="00487DC7" w:rsidP="005F2384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 w:rsidRPr="00487DC7">
              <w:rPr>
                <w:i/>
                <w:iCs/>
                <w:color w:val="969696" w:themeColor="accent3"/>
              </w:rPr>
              <w:t>Munkavédelemmel kapcsolatos jogszabályok megismerése</w:t>
            </w:r>
            <w:r w:rsidR="00D634C7" w:rsidRPr="00D634C7">
              <w:rPr>
                <w:i/>
                <w:iCs/>
                <w:color w:val="969696" w:themeColor="accent3"/>
              </w:rPr>
              <w:t xml:space="preserve">. </w:t>
            </w:r>
            <w:r w:rsidR="005F2384" w:rsidRPr="00D634C7">
              <w:rPr>
                <w:i/>
                <w:iCs/>
                <w:color w:val="969696" w:themeColor="accent3"/>
              </w:rPr>
              <w:t xml:space="preserve"> </w:t>
            </w:r>
          </w:p>
          <w:p w:rsidR="00487DC7" w:rsidRDefault="00487DC7" w:rsidP="005F2384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 w:rsidRPr="00487DC7">
              <w:rPr>
                <w:i/>
                <w:iCs/>
                <w:color w:val="969696" w:themeColor="accent3"/>
              </w:rPr>
              <w:t xml:space="preserve">A biztonsági övezet terjedelme, a biztonsági övezetben érvényesítendő tilalmakról és korlátozásokról szóló előírások megismerése. </w:t>
            </w:r>
          </w:p>
          <w:p w:rsidR="00487DC7" w:rsidRDefault="00487DC7" w:rsidP="005F2384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 w:rsidRPr="00487DC7">
              <w:rPr>
                <w:i/>
                <w:iCs/>
                <w:color w:val="969696" w:themeColor="accent3"/>
              </w:rPr>
              <w:t xml:space="preserve">Villamos berendezések üzemeltetésével kapcsolatos szabvány - MSZ 1585 - megismerése. </w:t>
            </w:r>
          </w:p>
          <w:p w:rsidR="00487DC7" w:rsidRDefault="00487DC7" w:rsidP="005F2384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 w:rsidRPr="00487DC7">
              <w:rPr>
                <w:i/>
                <w:iCs/>
                <w:color w:val="969696" w:themeColor="accent3"/>
              </w:rPr>
              <w:t xml:space="preserve">Üzemelő hálózatokon, </w:t>
            </w:r>
            <w:proofErr w:type="spellStart"/>
            <w:r w:rsidRPr="00487DC7">
              <w:rPr>
                <w:i/>
                <w:iCs/>
                <w:color w:val="969696" w:themeColor="accent3"/>
              </w:rPr>
              <w:t>alállomásokban</w:t>
            </w:r>
            <w:proofErr w:type="spellEnd"/>
            <w:r w:rsidRPr="00487DC7">
              <w:rPr>
                <w:i/>
                <w:iCs/>
                <w:color w:val="969696" w:themeColor="accent3"/>
              </w:rPr>
              <w:t xml:space="preserve"> végrehajtandó kapcsolási és feszültségmentesítési utasítás folyamatának megismerése</w:t>
            </w:r>
          </w:p>
          <w:p w:rsidR="00487DC7" w:rsidRDefault="00487DC7" w:rsidP="005F2384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 w:rsidRPr="00487DC7">
              <w:rPr>
                <w:i/>
                <w:iCs/>
                <w:color w:val="969696" w:themeColor="accent3"/>
              </w:rPr>
              <w:t xml:space="preserve">Létesítési, üzemeltetési technológiákhoz kapcsolódó munkavédelmi ismeretek. Magasban történő munkavégzés eszközei. </w:t>
            </w:r>
          </w:p>
          <w:p w:rsidR="00487DC7" w:rsidRDefault="00487DC7" w:rsidP="00B51D50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 w:rsidRPr="00487DC7">
              <w:rPr>
                <w:i/>
                <w:iCs/>
                <w:color w:val="969696" w:themeColor="accent3"/>
              </w:rPr>
              <w:t xml:space="preserve">Munkahelyi Egészségvédelem és </w:t>
            </w:r>
            <w:proofErr w:type="gramStart"/>
            <w:r w:rsidRPr="00487DC7">
              <w:rPr>
                <w:i/>
                <w:iCs/>
                <w:color w:val="969696" w:themeColor="accent3"/>
              </w:rPr>
              <w:t>Biztonság irányítási</w:t>
            </w:r>
            <w:proofErr w:type="gramEnd"/>
            <w:r w:rsidRPr="00487DC7">
              <w:rPr>
                <w:i/>
                <w:iCs/>
                <w:color w:val="969696" w:themeColor="accent3"/>
              </w:rPr>
              <w:t xml:space="preserve"> Rendszer (MEBIR) szerepe a vállalat működésében. MEBIR eljárások rendje.</w:t>
            </w:r>
          </w:p>
          <w:p w:rsidR="00B51D50" w:rsidRDefault="00487DC7" w:rsidP="00B51D50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 w:rsidRPr="00487DC7">
              <w:rPr>
                <w:i/>
                <w:iCs/>
                <w:color w:val="969696" w:themeColor="accent3"/>
              </w:rPr>
              <w:t>Munkavédelmi oktatások szükségessége, az oktatások rendszere, végrehajtása. Munkavédelmi ellenőrzések szükségessége, folyamata, résztvevői, ellenőrzési programok végrehajtása.</w:t>
            </w:r>
          </w:p>
          <w:p w:rsidR="00487DC7" w:rsidRPr="00576376" w:rsidRDefault="00487DC7" w:rsidP="00B51D50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 w:rsidRPr="00487DC7">
              <w:rPr>
                <w:i/>
                <w:iCs/>
                <w:color w:val="969696" w:themeColor="accent3"/>
              </w:rPr>
              <w:t xml:space="preserve">Baleseti piramis szintjei, jelentősége. Munkabalesetek kivizsgálása, gyökér okok elemzése. </w:t>
            </w:r>
            <w:proofErr w:type="spellStart"/>
            <w:r w:rsidRPr="00487DC7">
              <w:rPr>
                <w:i/>
                <w:iCs/>
                <w:color w:val="969696" w:themeColor="accent3"/>
              </w:rPr>
              <w:t>Bradley</w:t>
            </w:r>
            <w:proofErr w:type="spellEnd"/>
            <w:r w:rsidRPr="00487DC7">
              <w:rPr>
                <w:i/>
                <w:iCs/>
                <w:color w:val="969696" w:themeColor="accent3"/>
              </w:rPr>
              <w:t xml:space="preserve"> görbe.</w:t>
            </w:r>
          </w:p>
        </w:tc>
      </w:tr>
    </w:tbl>
    <w:p w:rsidR="00065780" w:rsidRDefault="00065780" w:rsidP="00720EAD">
      <w:pPr>
        <w:jc w:val="center"/>
        <w:rPr>
          <w:b/>
          <w:bCs/>
          <w:highlight w:val="green"/>
        </w:rPr>
      </w:pPr>
    </w:p>
    <w:p w:rsidR="00576376" w:rsidRDefault="00576376" w:rsidP="00576376">
      <w:pPr>
        <w:rPr>
          <w:lang w:val="en-US"/>
        </w:rPr>
      </w:pPr>
    </w:p>
    <w:p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:rsidR="00576376" w:rsidRPr="00637494" w:rsidRDefault="00576376" w:rsidP="00576376"/>
    <w:tbl>
      <w:tblPr>
        <w:tblStyle w:val="Tblzatrcsos7tarka1"/>
        <w:tblW w:w="10350" w:type="dxa"/>
        <w:tblLayout w:type="fixed"/>
        <w:tblLook w:val="04A0"/>
      </w:tblPr>
      <w:tblGrid>
        <w:gridCol w:w="711"/>
        <w:gridCol w:w="3827"/>
        <w:gridCol w:w="1985"/>
        <w:gridCol w:w="1842"/>
        <w:gridCol w:w="1985"/>
      </w:tblGrid>
      <w:tr w:rsidR="00637494" w:rsidRPr="00637494" w:rsidTr="003563A3">
        <w:trPr>
          <w:cnfStyle w:val="100000000000"/>
        </w:trPr>
        <w:tc>
          <w:tcPr>
            <w:cnfStyle w:val="001000000100"/>
            <w:tcW w:w="10350" w:type="dxa"/>
            <w:gridSpan w:val="5"/>
          </w:tcPr>
          <w:p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:rsidTr="003563A3">
        <w:trPr>
          <w:cnfStyle w:val="000000100000"/>
        </w:trPr>
        <w:tc>
          <w:tcPr>
            <w:cnfStyle w:val="001000000000"/>
            <w:tcW w:w="711" w:type="dxa"/>
          </w:tcPr>
          <w:p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:rsidR="00EC5287" w:rsidRPr="00637494" w:rsidRDefault="00EC5287" w:rsidP="003E046B">
            <w:pPr>
              <w:keepNext/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:rsidR="00EC5287" w:rsidRPr="00637494" w:rsidRDefault="00EC5287" w:rsidP="003E046B">
            <w:pPr>
              <w:keepNext/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</w:t>
            </w:r>
            <w:proofErr w:type="gramStart"/>
            <w:r w:rsidRPr="00637494">
              <w:rPr>
                <w:b/>
                <w:bCs/>
              </w:rPr>
              <w:t>irodalom</w:t>
            </w:r>
            <w:r w:rsidR="008B50C8" w:rsidRPr="00637494">
              <w:rPr>
                <w:b/>
                <w:bCs/>
              </w:rPr>
              <w:t xml:space="preserve"> hivatkozás</w:t>
            </w:r>
            <w:proofErr w:type="gramEnd"/>
            <w:r w:rsidR="008B50C8" w:rsidRPr="00637494">
              <w:rPr>
                <w:b/>
                <w:bCs/>
              </w:rPr>
              <w:t>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</w:t>
            </w:r>
            <w:proofErr w:type="spellStart"/>
            <w:r w:rsidRPr="00637494">
              <w:rPr>
                <w:b/>
                <w:bCs/>
              </w:rPr>
              <w:t>-tól-ig</w:t>
            </w:r>
            <w:proofErr w:type="spellEnd"/>
            <w:r w:rsidRPr="00637494">
              <w:rPr>
                <w:b/>
                <w:bCs/>
              </w:rPr>
              <w:t>)</w:t>
            </w:r>
          </w:p>
        </w:tc>
        <w:tc>
          <w:tcPr>
            <w:tcW w:w="1842" w:type="dxa"/>
          </w:tcPr>
          <w:p w:rsidR="00EC5287" w:rsidRPr="00637494" w:rsidRDefault="00EC5287" w:rsidP="003E046B">
            <w:pPr>
              <w:keepNext/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:rsidR="00EC5287" w:rsidRPr="00637494" w:rsidRDefault="00EC5287" w:rsidP="003E046B">
            <w:pPr>
              <w:keepNext/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:rsidTr="003563A3">
        <w:tc>
          <w:tcPr>
            <w:cnfStyle w:val="001000000000"/>
            <w:tcW w:w="711" w:type="dxa"/>
          </w:tcPr>
          <w:p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:rsidR="00EC5287" w:rsidRPr="00637494" w:rsidRDefault="00E47C69" w:rsidP="00E47C69">
            <w:pPr>
              <w:cnfStyle w:val="000000000000"/>
            </w:pPr>
            <w:r w:rsidRPr="00E47C69">
              <w:t>Munkavédelmi törvény és a hozzá kapcsolódó fontosabb jogszabályok kivonatos ismertetése. Értelmező rendelkezések, (munkáltat</w:t>
            </w:r>
            <w:r>
              <w:t>ó, munkavállaló, szervezett mun</w:t>
            </w:r>
            <w:r w:rsidRPr="00E47C69">
              <w:t xml:space="preserve">kavégzés, veszélyforrás, stb.) </w:t>
            </w:r>
          </w:p>
        </w:tc>
        <w:tc>
          <w:tcPr>
            <w:tcW w:w="1985" w:type="dxa"/>
          </w:tcPr>
          <w:p w:rsidR="00EC5287" w:rsidRPr="00637494" w:rsidRDefault="00576376" w:rsidP="00623552">
            <w:pPr>
              <w:cnfStyle w:val="000000000000"/>
            </w:pPr>
            <w:r>
              <w:t>…</w:t>
            </w:r>
          </w:p>
        </w:tc>
        <w:tc>
          <w:tcPr>
            <w:tcW w:w="1842" w:type="dxa"/>
          </w:tcPr>
          <w:p w:rsidR="00EC5287" w:rsidRPr="00637494" w:rsidRDefault="00576376" w:rsidP="00623552">
            <w:pPr>
              <w:cnfStyle w:val="000000000000"/>
            </w:pPr>
            <w:r>
              <w:t>…</w:t>
            </w:r>
          </w:p>
        </w:tc>
        <w:tc>
          <w:tcPr>
            <w:tcW w:w="1985" w:type="dxa"/>
          </w:tcPr>
          <w:p w:rsidR="00EC5287" w:rsidRPr="00637494" w:rsidRDefault="00576376" w:rsidP="00623552">
            <w:pPr>
              <w:cnfStyle w:val="000000000000"/>
            </w:pPr>
            <w:r>
              <w:t>…</w:t>
            </w:r>
          </w:p>
        </w:tc>
      </w:tr>
      <w:tr w:rsidR="00637494" w:rsidRPr="00637494" w:rsidTr="003563A3">
        <w:trPr>
          <w:cnfStyle w:val="000000100000"/>
        </w:trPr>
        <w:tc>
          <w:tcPr>
            <w:cnfStyle w:val="001000000000"/>
            <w:tcW w:w="711" w:type="dxa"/>
          </w:tcPr>
          <w:p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:rsidR="00EC5287" w:rsidRPr="00637494" w:rsidRDefault="00E47C69" w:rsidP="00281EF6">
            <w:pPr>
              <w:cnfStyle w:val="000000100000"/>
            </w:pPr>
            <w:r w:rsidRPr="00E47C69">
              <w:t>Az egészséget nem veszélyeztető és biztonságos munkavégzés követelményei. Villamos energia iparra jellemző veszélyek, veszély-források, kockázatértékelés.</w:t>
            </w:r>
          </w:p>
        </w:tc>
        <w:tc>
          <w:tcPr>
            <w:tcW w:w="1985" w:type="dxa"/>
          </w:tcPr>
          <w:p w:rsidR="00EC5287" w:rsidRPr="00637494" w:rsidRDefault="00EC5287" w:rsidP="00623552">
            <w:pPr>
              <w:cnfStyle w:val="000000100000"/>
            </w:pPr>
          </w:p>
        </w:tc>
        <w:tc>
          <w:tcPr>
            <w:tcW w:w="1842" w:type="dxa"/>
          </w:tcPr>
          <w:p w:rsidR="00EC5287" w:rsidRPr="00637494" w:rsidRDefault="00EC5287" w:rsidP="00623552">
            <w:pPr>
              <w:cnfStyle w:val="000000100000"/>
            </w:pPr>
          </w:p>
        </w:tc>
        <w:tc>
          <w:tcPr>
            <w:tcW w:w="1985" w:type="dxa"/>
          </w:tcPr>
          <w:p w:rsidR="00EC5287" w:rsidRPr="00637494" w:rsidRDefault="00EC5287" w:rsidP="00623552">
            <w:pPr>
              <w:cnfStyle w:val="000000100000"/>
            </w:pPr>
          </w:p>
        </w:tc>
      </w:tr>
      <w:tr w:rsidR="00637494" w:rsidRPr="00637494" w:rsidTr="003563A3">
        <w:tc>
          <w:tcPr>
            <w:cnfStyle w:val="001000000000"/>
            <w:tcW w:w="711" w:type="dxa"/>
          </w:tcPr>
          <w:p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:rsidR="00EC5287" w:rsidRPr="00637494" w:rsidRDefault="00281EF6" w:rsidP="00B60398">
            <w:pPr>
              <w:cnfStyle w:val="000000000000"/>
            </w:pPr>
            <w:r>
              <w:t xml:space="preserve"> </w:t>
            </w:r>
            <w:r w:rsidR="00E47C69" w:rsidRPr="00E47C69">
              <w:t>A biztonsági övezet terjedelméről szóló jogszabály ismertetése. Biztonsági övezet értelmezése, terjedelme a különböző feszültségszintű szabadvezeték és kábelhálózatok esetén.</w:t>
            </w:r>
          </w:p>
        </w:tc>
        <w:tc>
          <w:tcPr>
            <w:tcW w:w="1985" w:type="dxa"/>
          </w:tcPr>
          <w:p w:rsidR="00EC5287" w:rsidRPr="00637494" w:rsidRDefault="00EC5287" w:rsidP="00623552">
            <w:pPr>
              <w:cnfStyle w:val="000000000000"/>
            </w:pPr>
          </w:p>
        </w:tc>
        <w:tc>
          <w:tcPr>
            <w:tcW w:w="1842" w:type="dxa"/>
          </w:tcPr>
          <w:p w:rsidR="00EC5287" w:rsidRPr="00637494" w:rsidRDefault="00EC5287" w:rsidP="00623552">
            <w:pPr>
              <w:cnfStyle w:val="000000000000"/>
            </w:pPr>
          </w:p>
        </w:tc>
        <w:tc>
          <w:tcPr>
            <w:tcW w:w="1985" w:type="dxa"/>
          </w:tcPr>
          <w:p w:rsidR="00EC5287" w:rsidRPr="00637494" w:rsidRDefault="00EC5287" w:rsidP="00623552">
            <w:pPr>
              <w:cnfStyle w:val="000000000000"/>
            </w:pPr>
          </w:p>
        </w:tc>
      </w:tr>
      <w:tr w:rsidR="00637494" w:rsidRPr="00637494" w:rsidTr="003563A3">
        <w:trPr>
          <w:cnfStyle w:val="000000100000"/>
        </w:trPr>
        <w:tc>
          <w:tcPr>
            <w:cnfStyle w:val="001000000000"/>
            <w:tcW w:w="711" w:type="dxa"/>
          </w:tcPr>
          <w:p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:rsidR="00EC5287" w:rsidRPr="00637494" w:rsidRDefault="00E47C69" w:rsidP="00E47C69">
            <w:pPr>
              <w:cnfStyle w:val="000000100000"/>
            </w:pPr>
            <w:r>
              <w:t>Tilalmak és korlátozások a biztonsági övezetben. Biztonsági övezetben történt balesetek ismertetése.</w:t>
            </w:r>
          </w:p>
        </w:tc>
        <w:tc>
          <w:tcPr>
            <w:tcW w:w="1985" w:type="dxa"/>
          </w:tcPr>
          <w:p w:rsidR="00EC5287" w:rsidRPr="00637494" w:rsidRDefault="00EC5287" w:rsidP="00623552">
            <w:pPr>
              <w:cnfStyle w:val="000000100000"/>
            </w:pPr>
          </w:p>
        </w:tc>
        <w:tc>
          <w:tcPr>
            <w:tcW w:w="1842" w:type="dxa"/>
          </w:tcPr>
          <w:p w:rsidR="00EC5287" w:rsidRPr="00637494" w:rsidRDefault="00EC5287" w:rsidP="00623552">
            <w:pPr>
              <w:cnfStyle w:val="000000100000"/>
            </w:pPr>
          </w:p>
        </w:tc>
        <w:tc>
          <w:tcPr>
            <w:tcW w:w="1985" w:type="dxa"/>
          </w:tcPr>
          <w:p w:rsidR="00EC5287" w:rsidRPr="00637494" w:rsidRDefault="00EC5287" w:rsidP="00623552">
            <w:pPr>
              <w:cnfStyle w:val="000000100000"/>
            </w:pPr>
          </w:p>
        </w:tc>
      </w:tr>
      <w:tr w:rsidR="00637494" w:rsidRPr="00637494" w:rsidTr="003563A3">
        <w:tc>
          <w:tcPr>
            <w:cnfStyle w:val="001000000000"/>
            <w:tcW w:w="711" w:type="dxa"/>
          </w:tcPr>
          <w:p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:rsidR="00EC5287" w:rsidRPr="00637494" w:rsidRDefault="00B83951" w:rsidP="00B60398">
            <w:pPr>
              <w:cnfStyle w:val="000000000000"/>
            </w:pPr>
            <w:r w:rsidRPr="00B83951">
              <w:t xml:space="preserve">Villamos berendezések üzemeltetésével kapcsolatos szabvány - MSZ 1585 - megismerése. </w:t>
            </w:r>
            <w:r w:rsidR="00E47C69">
              <w:t xml:space="preserve">Biztonságos üzemeltetés, személyzet, szervezés és kommunikáció. Munkavégzés helye, közelítési övezet, veszélyes övezet. </w:t>
            </w:r>
          </w:p>
        </w:tc>
        <w:tc>
          <w:tcPr>
            <w:tcW w:w="1985" w:type="dxa"/>
          </w:tcPr>
          <w:p w:rsidR="00EC5287" w:rsidRPr="00637494" w:rsidRDefault="00EC5287" w:rsidP="00623552">
            <w:pPr>
              <w:cnfStyle w:val="000000000000"/>
            </w:pPr>
          </w:p>
        </w:tc>
        <w:tc>
          <w:tcPr>
            <w:tcW w:w="1842" w:type="dxa"/>
          </w:tcPr>
          <w:p w:rsidR="00EC5287" w:rsidRPr="00637494" w:rsidRDefault="00EC5287" w:rsidP="00623552">
            <w:pPr>
              <w:cnfStyle w:val="000000000000"/>
            </w:pPr>
          </w:p>
        </w:tc>
        <w:tc>
          <w:tcPr>
            <w:tcW w:w="1985" w:type="dxa"/>
          </w:tcPr>
          <w:p w:rsidR="00EC5287" w:rsidRPr="00637494" w:rsidRDefault="00EC5287" w:rsidP="00623552">
            <w:pPr>
              <w:cnfStyle w:val="000000000000"/>
            </w:pPr>
          </w:p>
        </w:tc>
      </w:tr>
      <w:tr w:rsidR="00637494" w:rsidRPr="00637494" w:rsidTr="003563A3">
        <w:trPr>
          <w:cnfStyle w:val="000000100000"/>
        </w:trPr>
        <w:tc>
          <w:tcPr>
            <w:cnfStyle w:val="001000000000"/>
            <w:tcW w:w="711" w:type="dxa"/>
          </w:tcPr>
          <w:p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:rsidR="00EC5287" w:rsidRPr="00637494" w:rsidRDefault="00E47C69" w:rsidP="000F43B0">
            <w:pPr>
              <w:cnfStyle w:val="000000100000"/>
            </w:pPr>
            <w:r>
              <w:t>Személyek besorolása tevékenységek szempontjából. Munkavégzéshez szükséges képesítések. Munkavégzés helye. Szabadvezetékkel kapcsolatos munkák, közcélú villamos berendezések.</w:t>
            </w:r>
            <w:r w:rsidR="00B83951">
              <w:t xml:space="preserve"> </w:t>
            </w:r>
            <w:r w:rsidR="00B83951">
              <w:t>Villamos munka. Védőeszközök.</w:t>
            </w:r>
          </w:p>
        </w:tc>
        <w:tc>
          <w:tcPr>
            <w:tcW w:w="1985" w:type="dxa"/>
          </w:tcPr>
          <w:p w:rsidR="00EC5287" w:rsidRPr="00637494" w:rsidRDefault="00EC5287" w:rsidP="00623552">
            <w:pPr>
              <w:cnfStyle w:val="000000100000"/>
            </w:pPr>
          </w:p>
        </w:tc>
        <w:tc>
          <w:tcPr>
            <w:tcW w:w="1842" w:type="dxa"/>
          </w:tcPr>
          <w:p w:rsidR="00EC5287" w:rsidRPr="00637494" w:rsidRDefault="00EC5287" w:rsidP="00623552">
            <w:pPr>
              <w:cnfStyle w:val="000000100000"/>
            </w:pPr>
          </w:p>
        </w:tc>
        <w:tc>
          <w:tcPr>
            <w:tcW w:w="1985" w:type="dxa"/>
          </w:tcPr>
          <w:p w:rsidR="00EC5287" w:rsidRPr="00637494" w:rsidRDefault="00EC5287" w:rsidP="00623552">
            <w:pPr>
              <w:cnfStyle w:val="000000100000"/>
            </w:pPr>
          </w:p>
        </w:tc>
      </w:tr>
      <w:tr w:rsidR="00637494" w:rsidRPr="00637494" w:rsidTr="003563A3">
        <w:tc>
          <w:tcPr>
            <w:cnfStyle w:val="001000000000"/>
            <w:tcW w:w="711" w:type="dxa"/>
          </w:tcPr>
          <w:p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:rsidR="00EC5287" w:rsidRPr="00637494" w:rsidRDefault="00B83951" w:rsidP="000F43B0">
            <w:pPr>
              <w:cnfStyle w:val="000000000000"/>
            </w:pPr>
            <w:r w:rsidRPr="005B6A4F">
              <w:rPr>
                <w:b/>
              </w:rPr>
              <w:t>Zárthelyi dolgozat</w:t>
            </w:r>
            <w:r>
              <w:rPr>
                <w:b/>
              </w:rPr>
              <w:t xml:space="preserve"> I</w:t>
            </w:r>
            <w:r w:rsidRPr="005B6A4F">
              <w:rPr>
                <w:b/>
              </w:rPr>
              <w:t>.</w:t>
            </w:r>
            <w:r>
              <w:t xml:space="preserve"> Az oktatási heteken elhangzott témákból összeállított kérdésekre adott válaszok kifejtése írásban</w:t>
            </w:r>
          </w:p>
        </w:tc>
        <w:tc>
          <w:tcPr>
            <w:tcW w:w="1985" w:type="dxa"/>
          </w:tcPr>
          <w:p w:rsidR="00EC5287" w:rsidRPr="00637494" w:rsidRDefault="00EC5287" w:rsidP="00623552">
            <w:pPr>
              <w:cnfStyle w:val="000000000000"/>
            </w:pPr>
          </w:p>
        </w:tc>
        <w:tc>
          <w:tcPr>
            <w:tcW w:w="1842" w:type="dxa"/>
          </w:tcPr>
          <w:p w:rsidR="00EC5287" w:rsidRPr="00637494" w:rsidRDefault="00EC5287" w:rsidP="00623552">
            <w:pPr>
              <w:cnfStyle w:val="000000000000"/>
            </w:pPr>
          </w:p>
        </w:tc>
        <w:tc>
          <w:tcPr>
            <w:tcW w:w="1985" w:type="dxa"/>
          </w:tcPr>
          <w:p w:rsidR="00EC5287" w:rsidRPr="00637494" w:rsidRDefault="00EC5287" w:rsidP="00623552">
            <w:pPr>
              <w:cnfStyle w:val="000000000000"/>
            </w:pPr>
          </w:p>
        </w:tc>
      </w:tr>
      <w:tr w:rsidR="001003B8" w:rsidRPr="00637494" w:rsidTr="003563A3">
        <w:trPr>
          <w:cnfStyle w:val="000000100000"/>
        </w:trPr>
        <w:tc>
          <w:tcPr>
            <w:cnfStyle w:val="001000000000"/>
            <w:tcW w:w="711" w:type="dxa"/>
          </w:tcPr>
          <w:p w:rsidR="001003B8" w:rsidRPr="00637494" w:rsidRDefault="001003B8" w:rsidP="00576376">
            <w:r w:rsidRPr="00637494">
              <w:t>8.</w:t>
            </w:r>
          </w:p>
        </w:tc>
        <w:tc>
          <w:tcPr>
            <w:tcW w:w="3827" w:type="dxa"/>
          </w:tcPr>
          <w:p w:rsidR="00B60398" w:rsidRDefault="00B83951" w:rsidP="00237E5F">
            <w:pPr>
              <w:cnfStyle w:val="000000100000"/>
            </w:pPr>
            <w:r w:rsidRPr="00B83951">
              <w:t xml:space="preserve">Villamos berendezéseken végzett kapcsolási, feszültségmentesítési és feszültség alá helyezési műveletek előkészítése, adminisztrációja. Feszültségmentesítés lépesei. Feszültségmentesítés sorrendjének ismertetése egy feszültségmentesítési utasítás – KFMU - alapján. </w:t>
            </w:r>
          </w:p>
          <w:p w:rsidR="001003B8" w:rsidRPr="00637494" w:rsidRDefault="00B83951" w:rsidP="00237E5F">
            <w:pPr>
              <w:cnfStyle w:val="000000100000"/>
            </w:pPr>
            <w:r w:rsidRPr="00B83951">
              <w:t>Üzemelő kábelek feszültségmentesítését követő kábel meglövés végrehajtása.</w:t>
            </w:r>
          </w:p>
        </w:tc>
        <w:tc>
          <w:tcPr>
            <w:tcW w:w="1985" w:type="dxa"/>
          </w:tcPr>
          <w:p w:rsidR="001003B8" w:rsidRPr="00637494" w:rsidRDefault="001003B8" w:rsidP="00623552">
            <w:pPr>
              <w:cnfStyle w:val="000000100000"/>
            </w:pPr>
          </w:p>
        </w:tc>
        <w:tc>
          <w:tcPr>
            <w:tcW w:w="1842" w:type="dxa"/>
          </w:tcPr>
          <w:p w:rsidR="001003B8" w:rsidRPr="00637494" w:rsidRDefault="001003B8" w:rsidP="00623552">
            <w:pPr>
              <w:cnfStyle w:val="000000100000"/>
            </w:pPr>
          </w:p>
        </w:tc>
        <w:tc>
          <w:tcPr>
            <w:tcW w:w="1985" w:type="dxa"/>
          </w:tcPr>
          <w:p w:rsidR="001003B8" w:rsidRPr="00637494" w:rsidRDefault="001003B8" w:rsidP="00623552">
            <w:pPr>
              <w:cnfStyle w:val="000000100000"/>
            </w:pPr>
          </w:p>
        </w:tc>
      </w:tr>
      <w:tr w:rsidR="001003B8" w:rsidRPr="00637494" w:rsidTr="003563A3">
        <w:tc>
          <w:tcPr>
            <w:cnfStyle w:val="001000000000"/>
            <w:tcW w:w="711" w:type="dxa"/>
          </w:tcPr>
          <w:p w:rsidR="001003B8" w:rsidRPr="00637494" w:rsidRDefault="001003B8" w:rsidP="00576376">
            <w:r w:rsidRPr="00637494">
              <w:t>9.</w:t>
            </w:r>
          </w:p>
        </w:tc>
        <w:tc>
          <w:tcPr>
            <w:tcW w:w="3827" w:type="dxa"/>
          </w:tcPr>
          <w:p w:rsidR="00B60398" w:rsidRPr="00637494" w:rsidRDefault="00E47C69" w:rsidP="00623552">
            <w:pPr>
              <w:cnfStyle w:val="000000000000"/>
            </w:pPr>
            <w:r>
              <w:t xml:space="preserve">TAVASZI </w:t>
            </w:r>
            <w:r w:rsidR="005F2384">
              <w:t>SZÜNET</w:t>
            </w:r>
          </w:p>
        </w:tc>
        <w:tc>
          <w:tcPr>
            <w:tcW w:w="1985" w:type="dxa"/>
          </w:tcPr>
          <w:p w:rsidR="001003B8" w:rsidRPr="00637494" w:rsidRDefault="001003B8" w:rsidP="00623552">
            <w:pPr>
              <w:cnfStyle w:val="000000000000"/>
            </w:pPr>
          </w:p>
        </w:tc>
        <w:tc>
          <w:tcPr>
            <w:tcW w:w="1842" w:type="dxa"/>
          </w:tcPr>
          <w:p w:rsidR="001003B8" w:rsidRPr="00637494" w:rsidRDefault="001003B8" w:rsidP="00623552">
            <w:pPr>
              <w:cnfStyle w:val="000000000000"/>
            </w:pPr>
          </w:p>
        </w:tc>
        <w:tc>
          <w:tcPr>
            <w:tcW w:w="1985" w:type="dxa"/>
          </w:tcPr>
          <w:p w:rsidR="001003B8" w:rsidRPr="00637494" w:rsidRDefault="001003B8" w:rsidP="00623552">
            <w:pPr>
              <w:cnfStyle w:val="000000000000"/>
            </w:pPr>
          </w:p>
        </w:tc>
      </w:tr>
      <w:tr w:rsidR="00B60398" w:rsidRPr="00637494" w:rsidTr="003563A3">
        <w:trPr>
          <w:cnfStyle w:val="000000100000"/>
        </w:trPr>
        <w:tc>
          <w:tcPr>
            <w:cnfStyle w:val="001000000000"/>
            <w:tcW w:w="711" w:type="dxa"/>
          </w:tcPr>
          <w:p w:rsidR="00B60398" w:rsidRPr="00637494" w:rsidRDefault="00B60398" w:rsidP="00576376">
            <w:r>
              <w:t>10.</w:t>
            </w:r>
          </w:p>
        </w:tc>
        <w:tc>
          <w:tcPr>
            <w:tcW w:w="3827" w:type="dxa"/>
          </w:tcPr>
          <w:p w:rsidR="00B60398" w:rsidRDefault="00B60398" w:rsidP="00623552">
            <w:pPr>
              <w:cnfStyle w:val="000000100000"/>
            </w:pPr>
            <w:r>
              <w:t>POLLACK EXPO</w:t>
            </w:r>
          </w:p>
        </w:tc>
        <w:tc>
          <w:tcPr>
            <w:tcW w:w="1985" w:type="dxa"/>
          </w:tcPr>
          <w:p w:rsidR="00B60398" w:rsidRPr="00637494" w:rsidRDefault="00B60398" w:rsidP="00623552">
            <w:pPr>
              <w:cnfStyle w:val="000000100000"/>
            </w:pPr>
          </w:p>
        </w:tc>
        <w:tc>
          <w:tcPr>
            <w:tcW w:w="1842" w:type="dxa"/>
          </w:tcPr>
          <w:p w:rsidR="00B60398" w:rsidRPr="00637494" w:rsidRDefault="00B60398" w:rsidP="00623552">
            <w:pPr>
              <w:cnfStyle w:val="000000100000"/>
            </w:pPr>
          </w:p>
        </w:tc>
        <w:tc>
          <w:tcPr>
            <w:tcW w:w="1985" w:type="dxa"/>
          </w:tcPr>
          <w:p w:rsidR="00B60398" w:rsidRPr="00637494" w:rsidRDefault="00B60398" w:rsidP="00623552">
            <w:pPr>
              <w:cnfStyle w:val="000000100000"/>
            </w:pPr>
          </w:p>
        </w:tc>
      </w:tr>
      <w:tr w:rsidR="001003B8" w:rsidRPr="00637494" w:rsidTr="003563A3">
        <w:tc>
          <w:tcPr>
            <w:cnfStyle w:val="001000000000"/>
            <w:tcW w:w="711" w:type="dxa"/>
          </w:tcPr>
          <w:p w:rsidR="001003B8" w:rsidRPr="00637494" w:rsidRDefault="001003B8" w:rsidP="00B60398">
            <w:r w:rsidRPr="00637494">
              <w:t>1</w:t>
            </w:r>
            <w:r w:rsidR="00B60398">
              <w:t>1</w:t>
            </w:r>
            <w:r w:rsidRPr="00637494">
              <w:t>.</w:t>
            </w:r>
          </w:p>
        </w:tc>
        <w:tc>
          <w:tcPr>
            <w:tcW w:w="3827" w:type="dxa"/>
          </w:tcPr>
          <w:p w:rsidR="001003B8" w:rsidRPr="00637494" w:rsidRDefault="00B83951" w:rsidP="000F43B0">
            <w:pPr>
              <w:cnfStyle w:val="000000000000"/>
            </w:pPr>
            <w:r w:rsidRPr="00B83951">
              <w:t>Létesítési, üzemeltetési technológiákhoz kapcsolódó munkavédelmi ismeretek. Munkaterületek előkészítése, munkagépek környezetében betartandó szabályok. Munkavégzés lakott környezetben.</w:t>
            </w:r>
          </w:p>
        </w:tc>
        <w:tc>
          <w:tcPr>
            <w:tcW w:w="1985" w:type="dxa"/>
          </w:tcPr>
          <w:p w:rsidR="001003B8" w:rsidRPr="00637494" w:rsidRDefault="001003B8" w:rsidP="00623552">
            <w:pPr>
              <w:cnfStyle w:val="000000000000"/>
            </w:pPr>
          </w:p>
        </w:tc>
        <w:tc>
          <w:tcPr>
            <w:tcW w:w="1842" w:type="dxa"/>
          </w:tcPr>
          <w:p w:rsidR="001003B8" w:rsidRPr="00637494" w:rsidRDefault="001003B8" w:rsidP="00623552">
            <w:pPr>
              <w:cnfStyle w:val="000000000000"/>
            </w:pPr>
          </w:p>
        </w:tc>
        <w:tc>
          <w:tcPr>
            <w:tcW w:w="1985" w:type="dxa"/>
          </w:tcPr>
          <w:p w:rsidR="001003B8" w:rsidRPr="00637494" w:rsidRDefault="001003B8" w:rsidP="00623552">
            <w:pPr>
              <w:cnfStyle w:val="000000000000"/>
            </w:pPr>
          </w:p>
        </w:tc>
      </w:tr>
      <w:tr w:rsidR="001003B8" w:rsidRPr="00637494" w:rsidTr="003563A3">
        <w:trPr>
          <w:cnfStyle w:val="000000100000"/>
        </w:trPr>
        <w:tc>
          <w:tcPr>
            <w:cnfStyle w:val="001000000000"/>
            <w:tcW w:w="711" w:type="dxa"/>
          </w:tcPr>
          <w:p w:rsidR="001003B8" w:rsidRPr="00637494" w:rsidRDefault="001003B8" w:rsidP="00B60398">
            <w:r w:rsidRPr="00637494">
              <w:t>1</w:t>
            </w:r>
            <w:r w:rsidR="00B60398">
              <w:t>2</w:t>
            </w:r>
            <w:r w:rsidRPr="00637494">
              <w:t>.</w:t>
            </w:r>
          </w:p>
        </w:tc>
        <w:tc>
          <w:tcPr>
            <w:tcW w:w="3827" w:type="dxa"/>
          </w:tcPr>
          <w:p w:rsidR="001003B8" w:rsidRPr="00637494" w:rsidRDefault="00B83951" w:rsidP="000F43B0">
            <w:pPr>
              <w:cnfStyle w:val="000000100000"/>
            </w:pPr>
            <w:r w:rsidRPr="00B83951">
              <w:t xml:space="preserve">A magasban történő munkavégzés általános </w:t>
            </w:r>
            <w:r w:rsidRPr="00B83951">
              <w:lastRenderedPageBreak/>
              <w:t>s</w:t>
            </w:r>
            <w:r>
              <w:t>zabályai. Magasban levő munkahe</w:t>
            </w:r>
            <w:r w:rsidRPr="00B83951">
              <w:t xml:space="preserve">lyeken dolgozók számára a biztonságos fel- és lejutás </w:t>
            </w:r>
            <w:r>
              <w:t>feltételei.  Fel és lejutás koc</w:t>
            </w:r>
            <w:r w:rsidRPr="00B83951">
              <w:t>kázatai. Leesés elleni védelem eszközeinek ismertetése. Munkaállások alkalmazása során betartandó szabályok. Szerelőkosaras gépkocsik használata során betartandó szabályok.</w:t>
            </w:r>
          </w:p>
        </w:tc>
        <w:tc>
          <w:tcPr>
            <w:tcW w:w="1985" w:type="dxa"/>
          </w:tcPr>
          <w:p w:rsidR="001003B8" w:rsidRPr="00637494" w:rsidRDefault="001003B8" w:rsidP="00623552">
            <w:pPr>
              <w:cnfStyle w:val="000000100000"/>
            </w:pPr>
          </w:p>
        </w:tc>
        <w:tc>
          <w:tcPr>
            <w:tcW w:w="1842" w:type="dxa"/>
          </w:tcPr>
          <w:p w:rsidR="001003B8" w:rsidRPr="00637494" w:rsidRDefault="001003B8" w:rsidP="00623552">
            <w:pPr>
              <w:cnfStyle w:val="000000100000"/>
            </w:pPr>
          </w:p>
        </w:tc>
        <w:tc>
          <w:tcPr>
            <w:tcW w:w="1985" w:type="dxa"/>
          </w:tcPr>
          <w:p w:rsidR="001003B8" w:rsidRPr="00637494" w:rsidRDefault="001003B8" w:rsidP="00623552">
            <w:pPr>
              <w:cnfStyle w:val="000000100000"/>
            </w:pPr>
          </w:p>
        </w:tc>
      </w:tr>
      <w:tr w:rsidR="001003B8" w:rsidRPr="00637494" w:rsidTr="003563A3">
        <w:tc>
          <w:tcPr>
            <w:cnfStyle w:val="001000000000"/>
            <w:tcW w:w="711" w:type="dxa"/>
          </w:tcPr>
          <w:p w:rsidR="001003B8" w:rsidRPr="00637494" w:rsidRDefault="001003B8" w:rsidP="00B60398">
            <w:r w:rsidRPr="00637494">
              <w:lastRenderedPageBreak/>
              <w:t>1</w:t>
            </w:r>
            <w:r w:rsidR="00B60398">
              <w:t>3</w:t>
            </w:r>
            <w:r w:rsidRPr="00637494">
              <w:t>.</w:t>
            </w:r>
          </w:p>
        </w:tc>
        <w:tc>
          <w:tcPr>
            <w:tcW w:w="3827" w:type="dxa"/>
          </w:tcPr>
          <w:p w:rsidR="001003B8" w:rsidRPr="00637494" w:rsidRDefault="00B83951" w:rsidP="00B60398">
            <w:pPr>
              <w:cnfStyle w:val="000000000000"/>
              <w:rPr>
                <w:lang w:eastAsia="hu-HU"/>
              </w:rPr>
            </w:pPr>
            <w:r w:rsidRPr="00B83951">
              <w:t>Mi a MEBIR, és mi a jelentősége egy gazdasági társaságnál. MEBIR eljárások rendje. Célok, programok, jogi és egyéb követelmények azonosít</w:t>
            </w:r>
            <w:r>
              <w:t>ása, kommuniká</w:t>
            </w:r>
            <w:r w:rsidRPr="00B83951">
              <w:t>ció szabályozása, figyelemmel kísérés és mérés, belső audit, vezetőségi átvizsgálás.</w:t>
            </w:r>
            <w:r>
              <w:t xml:space="preserve"> </w:t>
            </w:r>
            <w:r>
              <w:t>Munkavédelmi oktatások szükségessége, az oktatások rendszere, végrehajtása. Előzetes, ismétlődő, rendkívüli és egyéb oktatások. Elsősegélynyújtás rendszere, kialakítása, oktatása. Orvosi alkalmassági vizsgálatok rendje.</w:t>
            </w:r>
            <w:r w:rsidR="00B60398">
              <w:t xml:space="preserve"> </w:t>
            </w:r>
            <w:proofErr w:type="gramStart"/>
            <w:r>
              <w:t>Balesetek</w:t>
            </w:r>
            <w:proofErr w:type="gramEnd"/>
            <w:r>
              <w:t xml:space="preserve"> fő okai, és tanulságai. Baleseti piramis </w:t>
            </w:r>
            <w:r>
              <w:t>szintjei, jelentősége. Munkabal</w:t>
            </w:r>
            <w:r>
              <w:t xml:space="preserve">esetek kivizsgálása, gyökér okok elemzése. </w:t>
            </w:r>
            <w:proofErr w:type="spellStart"/>
            <w:r>
              <w:t>Bradley</w:t>
            </w:r>
            <w:proofErr w:type="spellEnd"/>
            <w:r>
              <w:t xml:space="preserve"> görbe.</w:t>
            </w:r>
          </w:p>
        </w:tc>
        <w:tc>
          <w:tcPr>
            <w:tcW w:w="1985" w:type="dxa"/>
          </w:tcPr>
          <w:p w:rsidR="001003B8" w:rsidRPr="00637494" w:rsidRDefault="001003B8" w:rsidP="00623552">
            <w:pPr>
              <w:cnfStyle w:val="000000000000"/>
            </w:pPr>
          </w:p>
        </w:tc>
        <w:tc>
          <w:tcPr>
            <w:tcW w:w="1842" w:type="dxa"/>
          </w:tcPr>
          <w:p w:rsidR="001003B8" w:rsidRPr="00637494" w:rsidRDefault="001003B8" w:rsidP="00623552">
            <w:pPr>
              <w:cnfStyle w:val="000000000000"/>
            </w:pPr>
          </w:p>
        </w:tc>
        <w:tc>
          <w:tcPr>
            <w:tcW w:w="1985" w:type="dxa"/>
          </w:tcPr>
          <w:p w:rsidR="001003B8" w:rsidRPr="00637494" w:rsidRDefault="001003B8" w:rsidP="00623552">
            <w:pPr>
              <w:cnfStyle w:val="000000000000"/>
            </w:pPr>
          </w:p>
        </w:tc>
      </w:tr>
      <w:tr w:rsidR="001003B8" w:rsidRPr="00637494" w:rsidTr="003563A3">
        <w:trPr>
          <w:cnfStyle w:val="000000100000"/>
        </w:trPr>
        <w:tc>
          <w:tcPr>
            <w:cnfStyle w:val="001000000000"/>
            <w:tcW w:w="711" w:type="dxa"/>
          </w:tcPr>
          <w:p w:rsidR="001003B8" w:rsidRPr="00637494" w:rsidRDefault="001003B8" w:rsidP="00B60398">
            <w:r w:rsidRPr="00637494">
              <w:t>1</w:t>
            </w:r>
            <w:r w:rsidR="00B60398">
              <w:t>4</w:t>
            </w:r>
            <w:r w:rsidRPr="00637494">
              <w:t>.</w:t>
            </w:r>
          </w:p>
        </w:tc>
        <w:tc>
          <w:tcPr>
            <w:tcW w:w="3827" w:type="dxa"/>
          </w:tcPr>
          <w:p w:rsidR="001003B8" w:rsidRPr="00637494" w:rsidRDefault="001003B8" w:rsidP="00F10790">
            <w:pPr>
              <w:cnfStyle w:val="000000100000"/>
            </w:pPr>
            <w:r w:rsidRPr="005B6A4F">
              <w:rPr>
                <w:b/>
              </w:rPr>
              <w:t>Zárthelyi dolgozat</w:t>
            </w:r>
            <w:r>
              <w:rPr>
                <w:b/>
              </w:rPr>
              <w:t xml:space="preserve"> II</w:t>
            </w:r>
            <w:r w:rsidRPr="005B6A4F">
              <w:rPr>
                <w:b/>
              </w:rPr>
              <w:t>.</w:t>
            </w:r>
            <w:r>
              <w:t xml:space="preserve"> Az oktatási heteken elhangzott témákból összeállított kérdésekre adott válaszok kifejtése írásban.</w:t>
            </w:r>
          </w:p>
        </w:tc>
        <w:tc>
          <w:tcPr>
            <w:tcW w:w="1985" w:type="dxa"/>
          </w:tcPr>
          <w:p w:rsidR="001003B8" w:rsidRPr="00637494" w:rsidRDefault="001003B8" w:rsidP="00623552">
            <w:pPr>
              <w:cnfStyle w:val="000000100000"/>
            </w:pPr>
          </w:p>
        </w:tc>
        <w:tc>
          <w:tcPr>
            <w:tcW w:w="1842" w:type="dxa"/>
          </w:tcPr>
          <w:p w:rsidR="001003B8" w:rsidRPr="00637494" w:rsidRDefault="001003B8" w:rsidP="00623552">
            <w:pPr>
              <w:cnfStyle w:val="000000100000"/>
            </w:pPr>
          </w:p>
        </w:tc>
        <w:tc>
          <w:tcPr>
            <w:tcW w:w="1985" w:type="dxa"/>
          </w:tcPr>
          <w:p w:rsidR="001003B8" w:rsidRPr="00637494" w:rsidRDefault="001003B8" w:rsidP="00623552">
            <w:pPr>
              <w:cnfStyle w:val="000000100000"/>
            </w:pPr>
          </w:p>
        </w:tc>
      </w:tr>
      <w:tr w:rsidR="001003B8" w:rsidRPr="00637494" w:rsidTr="003563A3">
        <w:tc>
          <w:tcPr>
            <w:cnfStyle w:val="001000000000"/>
            <w:tcW w:w="711" w:type="dxa"/>
          </w:tcPr>
          <w:p w:rsidR="001003B8" w:rsidRPr="00637494" w:rsidRDefault="00B60398" w:rsidP="00576376">
            <w:r>
              <w:t>15.</w:t>
            </w:r>
          </w:p>
        </w:tc>
        <w:tc>
          <w:tcPr>
            <w:tcW w:w="3827" w:type="dxa"/>
          </w:tcPr>
          <w:p w:rsidR="001003B8" w:rsidRPr="00637494" w:rsidRDefault="001003B8" w:rsidP="00F10790">
            <w:pPr>
              <w:cnfStyle w:val="000000000000"/>
            </w:pPr>
            <w:r>
              <w:t>F</w:t>
            </w:r>
            <w:r w:rsidRPr="00796B3E">
              <w:t>élév lezárása</w:t>
            </w:r>
            <w:r>
              <w:t>, I. és II. zárthelyi átlag alapján érdemjegy kihirdetése</w:t>
            </w:r>
            <w:r w:rsidRPr="00796B3E">
              <w:t>.</w:t>
            </w:r>
          </w:p>
        </w:tc>
        <w:tc>
          <w:tcPr>
            <w:tcW w:w="1985" w:type="dxa"/>
          </w:tcPr>
          <w:p w:rsidR="001003B8" w:rsidRPr="00637494" w:rsidRDefault="001003B8" w:rsidP="00623552">
            <w:pPr>
              <w:cnfStyle w:val="000000000000"/>
            </w:pPr>
          </w:p>
        </w:tc>
        <w:tc>
          <w:tcPr>
            <w:tcW w:w="1842" w:type="dxa"/>
          </w:tcPr>
          <w:p w:rsidR="001003B8" w:rsidRPr="00637494" w:rsidRDefault="001003B8" w:rsidP="00623552">
            <w:pPr>
              <w:cnfStyle w:val="000000000000"/>
            </w:pPr>
          </w:p>
        </w:tc>
        <w:tc>
          <w:tcPr>
            <w:tcW w:w="1985" w:type="dxa"/>
          </w:tcPr>
          <w:p w:rsidR="001003B8" w:rsidRPr="00637494" w:rsidRDefault="001003B8" w:rsidP="00623552">
            <w:pPr>
              <w:cnfStyle w:val="000000000000"/>
            </w:pPr>
          </w:p>
        </w:tc>
      </w:tr>
    </w:tbl>
    <w:p w:rsidR="00EC5287" w:rsidRPr="00637494" w:rsidRDefault="00EC5287" w:rsidP="005C08F1">
      <w:pPr>
        <w:rPr>
          <w:b/>
          <w:bCs/>
        </w:rPr>
      </w:pPr>
    </w:p>
    <w:p w:rsidR="00576376" w:rsidRDefault="00576376" w:rsidP="00576376">
      <w:pPr>
        <w:rPr>
          <w:lang w:val="en-US"/>
        </w:rPr>
      </w:pPr>
    </w:p>
    <w:p w:rsidR="00576376" w:rsidRDefault="00576376" w:rsidP="00576376">
      <w:pPr>
        <w:rPr>
          <w:lang w:val="en-US"/>
        </w:rPr>
      </w:pPr>
    </w:p>
    <w:p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és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:rsidR="00744428" w:rsidRDefault="00744428" w:rsidP="00576376">
      <w:pPr>
        <w:rPr>
          <w:lang w:val="en-US"/>
        </w:rPr>
      </w:pPr>
    </w:p>
    <w:p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és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</w:t>
      </w:r>
      <w:proofErr w:type="gramStart"/>
      <w:r w:rsidR="002038B8" w:rsidRPr="003E046B">
        <w:rPr>
          <w:i/>
          <w:iCs/>
          <w:sz w:val="16"/>
          <w:szCs w:val="16"/>
        </w:rPr>
        <w:t>tagozaton</w:t>
      </w:r>
      <w:proofErr w:type="gramEnd"/>
      <w:r w:rsidR="002038B8" w:rsidRPr="003E046B">
        <w:rPr>
          <w:i/>
          <w:iCs/>
          <w:sz w:val="16"/>
          <w:szCs w:val="16"/>
        </w:rPr>
        <w:t xml:space="preserve"> egy tantárgy esetén a tantárgyi tematikában előirányzott foglalkozások több mint 30%-áról hiányzott.</w:t>
      </w:r>
    </w:p>
    <w:p w:rsidR="00E15443" w:rsidRDefault="00E15443" w:rsidP="00E15443"/>
    <w:p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:rsidR="00891215" w:rsidRPr="00E15443" w:rsidRDefault="00FB4C49" w:rsidP="00E15443">
      <w:pPr>
        <w:shd w:val="clear" w:color="auto" w:fill="DFDFDF" w:themeFill="background2" w:themeFillShade="E6"/>
      </w:pPr>
      <w:proofErr w:type="gramStart"/>
      <w:r>
        <w:t>jelenléti</w:t>
      </w:r>
      <w:proofErr w:type="gramEnd"/>
      <w:r>
        <w:t xml:space="preserve"> ív</w:t>
      </w:r>
    </w:p>
    <w:p w:rsidR="00E15443" w:rsidRDefault="00E15443" w:rsidP="00E15443">
      <w:pPr>
        <w:rPr>
          <w:lang w:val="en-US"/>
        </w:rPr>
      </w:pPr>
    </w:p>
    <w:p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:rsidR="00CE73E0" w:rsidRDefault="00CE73E0" w:rsidP="00891215">
      <w:pPr>
        <w:keepNext/>
      </w:pPr>
    </w:p>
    <w:p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:rsidR="00DC3D3E" w:rsidRDefault="00DC3D3E" w:rsidP="006B1184">
      <w:pPr>
        <w:ind w:left="1559" w:hanging="851"/>
        <w:rPr>
          <w:rStyle w:val="Finomkiemels"/>
          <w:b/>
          <w:bCs/>
        </w:rPr>
      </w:pPr>
    </w:p>
    <w:p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GridTable1Light"/>
        <w:tblW w:w="8500" w:type="dxa"/>
        <w:tblInd w:w="704" w:type="dxa"/>
        <w:tblLook w:val="04A0"/>
      </w:tblPr>
      <w:tblGrid>
        <w:gridCol w:w="4869"/>
        <w:gridCol w:w="1648"/>
        <w:gridCol w:w="1983"/>
      </w:tblGrid>
      <w:tr w:rsidR="00637494" w:rsidRPr="00637494" w:rsidTr="00C112FF">
        <w:trPr>
          <w:cnfStyle w:val="100000000000"/>
        </w:trPr>
        <w:tc>
          <w:tcPr>
            <w:cnfStyle w:val="001000000000"/>
            <w:tcW w:w="4869" w:type="dxa"/>
            <w:vAlign w:val="center"/>
          </w:tcPr>
          <w:p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:rsidR="00F01068" w:rsidRPr="00637494" w:rsidRDefault="00F01068" w:rsidP="00C112FF">
            <w:pPr>
              <w:ind w:left="851" w:hanging="851"/>
              <w:jc w:val="center"/>
              <w:cnfStyle w:val="10000000000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:rsidR="00F01068" w:rsidRPr="00637494" w:rsidRDefault="00F01068" w:rsidP="00C112FF">
            <w:pPr>
              <w:jc w:val="center"/>
              <w:cnfStyle w:val="10000000000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1" w:name="_Hlk108820255"/>
            <w:r w:rsidRPr="00637494">
              <w:t>a vizsgára bocsájtás feltételének minősítésben</w:t>
            </w:r>
            <w:bookmarkEnd w:id="1"/>
          </w:p>
        </w:tc>
      </w:tr>
      <w:tr w:rsidR="00BE5153" w:rsidRPr="00DC3D3E" w:rsidTr="003E6E3D">
        <w:tc>
          <w:tcPr>
            <w:cnfStyle w:val="001000000000"/>
            <w:tcW w:w="4869" w:type="dxa"/>
            <w:shd w:val="clear" w:color="auto" w:fill="DFDFDF" w:themeFill="background2" w:themeFillShade="E6"/>
          </w:tcPr>
          <w:p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1.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:rsidR="00BE5153" w:rsidRPr="00DC3D3E" w:rsidRDefault="005F2384" w:rsidP="00BE5153">
            <w:pPr>
              <w:ind w:left="851" w:hanging="851"/>
              <w:cnfStyle w:val="00000000000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100 </w:t>
            </w:r>
            <w:r w:rsidR="00BE5153" w:rsidRPr="00DC3D3E">
              <w:rPr>
                <w:i/>
                <w:iCs/>
                <w:color w:val="808080" w:themeColor="accent4"/>
              </w:rPr>
              <w:t>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:rsidR="00BE5153" w:rsidRPr="00DC3D3E" w:rsidRDefault="00BE5153" w:rsidP="005F2384">
            <w:pPr>
              <w:ind w:left="851" w:hanging="851"/>
              <w:cnfStyle w:val="00000000000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 </w:t>
            </w:r>
            <w:r w:rsidR="00FD35C6">
              <w:rPr>
                <w:i/>
                <w:iCs/>
                <w:color w:val="808080" w:themeColor="accent4"/>
              </w:rPr>
              <w:t>5</w:t>
            </w:r>
            <w:r w:rsidR="005F2384">
              <w:rPr>
                <w:i/>
                <w:iCs/>
                <w:color w:val="808080" w:themeColor="accent4"/>
              </w:rPr>
              <w:t>1</w:t>
            </w:r>
            <w:r w:rsidRPr="00DC3D3E">
              <w:rPr>
                <w:i/>
                <w:iCs/>
                <w:color w:val="808080" w:themeColor="accent4"/>
              </w:rPr>
              <w:t>%</w:t>
            </w:r>
          </w:p>
        </w:tc>
      </w:tr>
      <w:tr w:rsidR="00BE5153" w:rsidRPr="00DC3D3E" w:rsidTr="003E6E3D">
        <w:tc>
          <w:tcPr>
            <w:cnfStyle w:val="001000000000"/>
            <w:tcW w:w="4869" w:type="dxa"/>
            <w:shd w:val="clear" w:color="auto" w:fill="DFDFDF" w:themeFill="background2" w:themeFillShade="E6"/>
          </w:tcPr>
          <w:p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2.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:rsidR="00BE5153" w:rsidRPr="00DC3D3E" w:rsidRDefault="005F2384" w:rsidP="00BE5153">
            <w:pPr>
              <w:ind w:left="851" w:hanging="851"/>
              <w:cnfStyle w:val="00000000000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100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:rsidR="00BE5153" w:rsidRPr="00DC3D3E" w:rsidRDefault="005F2384" w:rsidP="00FD35C6">
            <w:pPr>
              <w:ind w:left="851" w:hanging="851"/>
              <w:cnfStyle w:val="00000000000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51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</w:tbl>
    <w:p w:rsidR="00C026C1" w:rsidRPr="00637494" w:rsidRDefault="00C026C1" w:rsidP="006B1184">
      <w:pPr>
        <w:ind w:left="426"/>
        <w:rPr>
          <w:rStyle w:val="Finomkiemels"/>
          <w:b/>
          <w:bCs/>
        </w:rPr>
      </w:pPr>
    </w:p>
    <w:p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:rsidR="008E1B25" w:rsidRPr="001F4310" w:rsidRDefault="008E1B25" w:rsidP="003E6E3D">
      <w:pPr>
        <w:ind w:left="851" w:hanging="142"/>
        <w:rPr>
          <w:rStyle w:val="Finomkiemels"/>
          <w:sz w:val="16"/>
          <w:szCs w:val="16"/>
        </w:rPr>
      </w:pPr>
      <w:r w:rsidRPr="001F4310">
        <w:rPr>
          <w:sz w:val="16"/>
          <w:szCs w:val="16"/>
        </w:rPr>
        <w:t>(Pl.</w:t>
      </w:r>
      <w:proofErr w:type="gramStart"/>
      <w:r w:rsidRPr="001F4310">
        <w:rPr>
          <w:sz w:val="16"/>
          <w:szCs w:val="16"/>
        </w:rPr>
        <w:t>:  40</w:t>
      </w:r>
      <w:proofErr w:type="gramEnd"/>
      <w:r w:rsidRPr="001F4310">
        <w:rPr>
          <w:sz w:val="16"/>
          <w:szCs w:val="16"/>
        </w:rPr>
        <w:t>%-os évközi minősítés.)</w:t>
      </w:r>
    </w:p>
    <w:p w:rsidR="001F4310" w:rsidRPr="003E046B" w:rsidRDefault="00FD35C6" w:rsidP="003E046B">
      <w:pPr>
        <w:shd w:val="clear" w:color="auto" w:fill="DFDFDF" w:themeFill="background2" w:themeFillShade="E6"/>
      </w:pPr>
      <w:r>
        <w:rPr>
          <w:sz w:val="16"/>
          <w:szCs w:val="16"/>
        </w:rPr>
        <w:t xml:space="preserve">50 </w:t>
      </w:r>
      <w:r w:rsidRPr="001F4310">
        <w:rPr>
          <w:sz w:val="16"/>
          <w:szCs w:val="16"/>
        </w:rPr>
        <w:t>%-os évközi minősítés</w:t>
      </w:r>
    </w:p>
    <w:p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50§(2))</w:t>
      </w:r>
    </w:p>
    <w:p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Minden ZH és a beadandó jegyzőkönyvek</w:t>
      </w:r>
      <w:proofErr w:type="gramStart"/>
      <w:r w:rsidRPr="001F4310">
        <w:rPr>
          <w:i/>
          <w:iCs/>
          <w:sz w:val="16"/>
          <w:szCs w:val="16"/>
        </w:rPr>
        <w:t>, …</w:t>
      </w:r>
      <w:proofErr w:type="gramEnd"/>
      <w:r w:rsidRPr="001F4310">
        <w:rPr>
          <w:i/>
          <w:iCs/>
          <w:sz w:val="16"/>
          <w:szCs w:val="16"/>
        </w:rPr>
        <w:t xml:space="preserve">, a szorgalmi időszakban legalább egy-egy alkalommal pótolhatók/javíthatók, továbbá a vizsgaidőszak első két hetében legalább egy alkalommal lehetséges a </w:t>
      </w:r>
      <w:proofErr w:type="spellStart"/>
      <w:r w:rsidRPr="001F4310">
        <w:rPr>
          <w:i/>
          <w:iCs/>
          <w:sz w:val="16"/>
          <w:szCs w:val="16"/>
        </w:rPr>
        <w:t>ZH-k</w:t>
      </w:r>
      <w:proofErr w:type="spellEnd"/>
      <w:r w:rsidRPr="001F4310">
        <w:rPr>
          <w:i/>
          <w:iCs/>
          <w:sz w:val="16"/>
          <w:szCs w:val="16"/>
        </w:rPr>
        <w:t xml:space="preserve">, a beadandók, …, javítása/pótlása az aláírás megszerzése érekében. </w:t>
      </w:r>
    </w:p>
    <w:p w:rsidR="00C026C1" w:rsidRPr="003E046B" w:rsidRDefault="002A00F7" w:rsidP="003E046B">
      <w:pPr>
        <w:shd w:val="clear" w:color="auto" w:fill="DFDFDF" w:themeFill="background2" w:themeFillShade="E6"/>
      </w:pPr>
      <w:r>
        <w:t>15. heti előadás, ill. a</w:t>
      </w:r>
      <w:r w:rsidR="00E06865">
        <w:t xml:space="preserve"> vizsgaidőszak </w:t>
      </w:r>
      <w:r>
        <w:t xml:space="preserve"> első h</w:t>
      </w:r>
      <w:r w:rsidR="00E06865">
        <w:t>etében.</w:t>
      </w:r>
    </w:p>
    <w:p w:rsidR="00C026C1" w:rsidRPr="00DC3D3E" w:rsidRDefault="00C026C1" w:rsidP="006F6DF8">
      <w:pPr>
        <w:ind w:left="708"/>
      </w:pPr>
    </w:p>
    <w:p w:rsidR="003E6E3D" w:rsidRPr="00637494" w:rsidRDefault="00E415B4" w:rsidP="003E6E3D">
      <w:r w:rsidRPr="00FB4C49">
        <w:rPr>
          <w:b/>
          <w:bCs/>
          <w:i/>
          <w:iCs/>
        </w:rPr>
        <w:t>Vizsga típusa</w:t>
      </w:r>
      <w:r w:rsidR="00FB4C49">
        <w:rPr>
          <w:i/>
          <w:iCs/>
        </w:rPr>
        <w:t xml:space="preserve">: </w:t>
      </w:r>
      <w:r w:rsidRPr="00FB4C49">
        <w:rPr>
          <w:i/>
          <w:iCs/>
        </w:rPr>
        <w:t>írásbeli</w:t>
      </w:r>
    </w:p>
    <w:p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 xml:space="preserve">A vizsga </w:t>
      </w:r>
      <w:proofErr w:type="gramStart"/>
      <w:r w:rsidRPr="00637494">
        <w:rPr>
          <w:b/>
          <w:bCs/>
          <w:i/>
          <w:iCs/>
        </w:rPr>
        <w:t>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FB4C49">
        <w:rPr>
          <w:b/>
          <w:bCs/>
          <w:i/>
          <w:iCs/>
          <w:shd w:val="clear" w:color="auto" w:fill="DFDFDF" w:themeFill="background2" w:themeFillShade="E6"/>
        </w:rPr>
        <w:t>40</w:t>
      </w:r>
      <w:proofErr w:type="gramEnd"/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%-nál nem lehet több</w:t>
      </w:r>
      <w:r w:rsidR="006B1184" w:rsidRPr="00866254">
        <w:rPr>
          <w:i/>
          <w:iCs/>
          <w:sz w:val="16"/>
          <w:szCs w:val="16"/>
        </w:rPr>
        <w:t>.)</w:t>
      </w:r>
    </w:p>
    <w:p w:rsidR="00862CE3" w:rsidRPr="00637494" w:rsidRDefault="00862CE3" w:rsidP="003E6E3D">
      <w:pPr>
        <w:rPr>
          <w:rStyle w:val="Finomkiemels"/>
          <w:b/>
          <w:bCs/>
        </w:rPr>
      </w:pPr>
    </w:p>
    <w:p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5F2384">
        <w:rPr>
          <w:b/>
          <w:bCs/>
          <w:i/>
          <w:iCs/>
          <w:shd w:val="clear" w:color="auto" w:fill="DFDFDF" w:themeFill="background2" w:themeFillShade="E6"/>
        </w:rPr>
        <w:t xml:space="preserve">0 </w:t>
      </w:r>
      <w:r w:rsidR="008305B9" w:rsidRPr="00637494">
        <w:t>%-ban az évközi teljesítmény</w:t>
      </w:r>
      <w:proofErr w:type="gramStart"/>
      <w:r w:rsidR="008305B9" w:rsidRPr="00637494">
        <w:t xml:space="preserve">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5F2384">
        <w:rPr>
          <w:b/>
          <w:bCs/>
          <w:i/>
          <w:iCs/>
          <w:shd w:val="clear" w:color="auto" w:fill="DFDFDF" w:themeFill="background2" w:themeFillShade="E6"/>
        </w:rPr>
        <w:t>100</w:t>
      </w:r>
      <w:proofErr w:type="gramEnd"/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GridTableLight"/>
        <w:tblW w:w="5245" w:type="dxa"/>
        <w:tblInd w:w="1129" w:type="dxa"/>
        <w:tblLook w:val="04A0"/>
      </w:tblPr>
      <w:tblGrid>
        <w:gridCol w:w="1696"/>
        <w:gridCol w:w="3549"/>
      </w:tblGrid>
      <w:tr w:rsidR="00A43B60" w:rsidRPr="00637494" w:rsidTr="00BC6944">
        <w:tc>
          <w:tcPr>
            <w:tcW w:w="1696" w:type="dxa"/>
            <w:vAlign w:val="center"/>
          </w:tcPr>
          <w:p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:rsidTr="00BC6944">
        <w:tc>
          <w:tcPr>
            <w:tcW w:w="1696" w:type="dxa"/>
          </w:tcPr>
          <w:p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A43B60" w:rsidRPr="00637494" w:rsidRDefault="00B60398" w:rsidP="00FB4C49">
            <w:pPr>
              <w:ind w:left="851" w:hanging="851"/>
            </w:pPr>
            <w:r>
              <w:t>85</w:t>
            </w:r>
            <w:r w:rsidR="00A43B60" w:rsidRPr="00027996">
              <w:t xml:space="preserve"> % …</w:t>
            </w:r>
          </w:p>
        </w:tc>
      </w:tr>
      <w:tr w:rsidR="00A43B60" w:rsidRPr="00637494" w:rsidTr="00BC6944">
        <w:tc>
          <w:tcPr>
            <w:tcW w:w="1696" w:type="dxa"/>
          </w:tcPr>
          <w:p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A43B60" w:rsidRPr="00637494" w:rsidRDefault="00B60398" w:rsidP="00B60398">
            <w:pPr>
              <w:ind w:left="851" w:hanging="851"/>
            </w:pPr>
            <w:r>
              <w:t>75</w:t>
            </w:r>
            <w:r w:rsidR="00A43B60" w:rsidRPr="00027996">
              <w:t xml:space="preserve"> % ... </w:t>
            </w:r>
            <w:r>
              <w:t>85</w:t>
            </w:r>
            <w:r w:rsidR="00A43B60" w:rsidRPr="00027996">
              <w:t xml:space="preserve"> %</w:t>
            </w:r>
          </w:p>
        </w:tc>
      </w:tr>
      <w:tr w:rsidR="00A43B60" w:rsidRPr="00637494" w:rsidTr="00BC6944">
        <w:tc>
          <w:tcPr>
            <w:tcW w:w="1696" w:type="dxa"/>
          </w:tcPr>
          <w:p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A43B60" w:rsidRPr="00637494" w:rsidRDefault="00B60398" w:rsidP="00B60398">
            <w:pPr>
              <w:ind w:left="851" w:hanging="851"/>
            </w:pPr>
            <w:r>
              <w:t>55</w:t>
            </w:r>
            <w:r w:rsidR="00FB4C49">
              <w:t xml:space="preserve"> </w:t>
            </w:r>
            <w:r w:rsidR="00A43B60" w:rsidRPr="00027996">
              <w:t xml:space="preserve">% ... </w:t>
            </w:r>
            <w:r>
              <w:t>7</w:t>
            </w:r>
            <w:r w:rsidR="00FB4C49">
              <w:t>0</w:t>
            </w:r>
            <w:r w:rsidR="00A43B60" w:rsidRPr="00027996">
              <w:t xml:space="preserve"> %</w:t>
            </w:r>
          </w:p>
        </w:tc>
      </w:tr>
      <w:tr w:rsidR="00A43B60" w:rsidRPr="00637494" w:rsidTr="00BC6944">
        <w:tc>
          <w:tcPr>
            <w:tcW w:w="1696" w:type="dxa"/>
          </w:tcPr>
          <w:p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A43B60" w:rsidRPr="00637494" w:rsidRDefault="00B60398" w:rsidP="00B60398">
            <w:pPr>
              <w:ind w:left="851" w:hanging="851"/>
            </w:pPr>
            <w:r>
              <w:t>40</w:t>
            </w:r>
            <w:r w:rsidR="00FB4C49">
              <w:t xml:space="preserve"> % ...</w:t>
            </w:r>
            <w:r>
              <w:t>55</w:t>
            </w:r>
            <w:r w:rsidR="00A43B60" w:rsidRPr="00027996">
              <w:t xml:space="preserve"> %</w:t>
            </w:r>
          </w:p>
        </w:tc>
      </w:tr>
      <w:tr w:rsidR="00A43B60" w:rsidRPr="00637494" w:rsidTr="00BC6944">
        <w:tc>
          <w:tcPr>
            <w:tcW w:w="1696" w:type="dxa"/>
          </w:tcPr>
          <w:p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A43B60" w:rsidRPr="00637494" w:rsidRDefault="00FD35C6" w:rsidP="00BC6944">
            <w:pPr>
              <w:ind w:left="851" w:hanging="851"/>
            </w:pPr>
            <w:r>
              <w:t>40</w:t>
            </w:r>
            <w:r w:rsidR="00A43B60" w:rsidRPr="00027996">
              <w:t xml:space="preserve"> % alatt</w:t>
            </w:r>
          </w:p>
        </w:tc>
      </w:tr>
    </w:tbl>
    <w:p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:rsidR="00DC3D3E" w:rsidRDefault="00DC3D3E" w:rsidP="00DF6D4B"/>
    <w:p w:rsidR="00EE747E" w:rsidRPr="00637494" w:rsidRDefault="00EE747E" w:rsidP="00DF6D4B"/>
    <w:p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:rsidR="00B17FC9" w:rsidRDefault="00B17FC9" w:rsidP="004348FE">
      <w:pPr>
        <w:ind w:left="1559" w:hanging="851"/>
        <w:rPr>
          <w:rStyle w:val="Finomkiemels"/>
          <w:b/>
          <w:bCs/>
        </w:rPr>
      </w:pPr>
    </w:p>
    <w:p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és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:rsidR="004348FE" w:rsidRPr="002A00F7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2A00F7">
        <w:rPr>
          <w:rFonts w:cstheme="minorHAnsi"/>
        </w:rPr>
        <w:t>-</w:t>
      </w:r>
    </w:p>
    <w:p w:rsidR="00B17FC9" w:rsidRDefault="00B17FC9" w:rsidP="004C1211">
      <w:pPr>
        <w:pStyle w:val="Cmsor5"/>
        <w:rPr>
          <w:rStyle w:val="Finomkiemels"/>
          <w:b/>
          <w:bCs/>
        </w:rPr>
      </w:pPr>
    </w:p>
    <w:p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és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:rsidR="004348FE" w:rsidRPr="00B17FC9" w:rsidRDefault="004348FE" w:rsidP="002A00F7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3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2A00F7">
        <w:rPr>
          <w:rFonts w:cstheme="minorHAnsi"/>
        </w:rPr>
        <w:t>F</w:t>
      </w:r>
      <w:r w:rsidR="002A00F7" w:rsidRPr="002A00F7">
        <w:rPr>
          <w:rFonts w:cstheme="minorHAnsi"/>
        </w:rPr>
        <w:t>élév s</w:t>
      </w:r>
      <w:r w:rsidR="002A00F7">
        <w:rPr>
          <w:rFonts w:cstheme="minorHAnsi"/>
        </w:rPr>
        <w:t xml:space="preserve">orán az oktató által összeállított és bemutatott </w:t>
      </w:r>
      <w:proofErr w:type="spellStart"/>
      <w:r w:rsidR="002A00F7">
        <w:rPr>
          <w:rFonts w:cstheme="minorHAnsi"/>
        </w:rPr>
        <w:t>ppt</w:t>
      </w:r>
      <w:proofErr w:type="spellEnd"/>
      <w:r w:rsidR="002A00F7">
        <w:rPr>
          <w:rFonts w:cstheme="minorHAnsi"/>
        </w:rPr>
        <w:t xml:space="preserve">. </w:t>
      </w:r>
      <w:proofErr w:type="gramStart"/>
      <w:r w:rsidR="002A00F7">
        <w:rPr>
          <w:rFonts w:cstheme="minorHAnsi"/>
        </w:rPr>
        <w:t>anyagok</w:t>
      </w:r>
      <w:proofErr w:type="gramEnd"/>
      <w:r w:rsidR="002A00F7">
        <w:rPr>
          <w:rFonts w:cstheme="minorHAnsi"/>
        </w:rPr>
        <w:t xml:space="preserve"> a </w:t>
      </w:r>
      <w:proofErr w:type="spellStart"/>
      <w:r w:rsidR="002A00F7">
        <w:rPr>
          <w:rFonts w:cstheme="minorHAnsi"/>
        </w:rPr>
        <w:t>Teams</w:t>
      </w:r>
      <w:proofErr w:type="spellEnd"/>
      <w:r w:rsidR="002A00F7">
        <w:rPr>
          <w:rFonts w:cstheme="minorHAnsi"/>
        </w:rPr>
        <w:t xml:space="preserve"> felületre feltöltésre kerülnek.</w:t>
      </w:r>
    </w:p>
    <w:p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87C" w:rsidRDefault="0090687C" w:rsidP="00AD4BC7">
      <w:r>
        <w:separator/>
      </w:r>
    </w:p>
  </w:endnote>
  <w:endnote w:type="continuationSeparator" w:id="0">
    <w:p w:rsidR="0090687C" w:rsidRDefault="0090687C" w:rsidP="00AD4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8727360"/>
      <w:docPartObj>
        <w:docPartGallery w:val="Page Numbers (Bottom of Page)"/>
        <w:docPartUnique/>
      </w:docPartObj>
    </w:sdtPr>
    <w:sdtContent>
      <w:p w:rsidR="005F7E4B" w:rsidRDefault="009F57CD">
        <w:pPr>
          <w:pStyle w:val="llb"/>
          <w:jc w:val="center"/>
        </w:pPr>
        <w:r>
          <w:fldChar w:fldCharType="begin"/>
        </w:r>
        <w:r w:rsidR="005F7E4B">
          <w:instrText>PAGE   \* MERGEFORMAT</w:instrText>
        </w:r>
        <w:r>
          <w:fldChar w:fldCharType="separate"/>
        </w:r>
        <w:r w:rsidR="00680E2C">
          <w:rPr>
            <w:noProof/>
          </w:rPr>
          <w:t>1</w:t>
        </w:r>
        <w:r>
          <w:fldChar w:fldCharType="end"/>
        </w:r>
      </w:p>
    </w:sdtContent>
  </w:sdt>
  <w:p w:rsidR="005F7E4B" w:rsidRDefault="005F7E4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87C" w:rsidRDefault="0090687C" w:rsidP="00AD4BC7">
      <w:r>
        <w:separator/>
      </w:r>
    </w:p>
  </w:footnote>
  <w:footnote w:type="continuationSeparator" w:id="0">
    <w:p w:rsidR="0090687C" w:rsidRDefault="0090687C" w:rsidP="00AD4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8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20"/>
  </w:num>
  <w:num w:numId="11">
    <w:abstractNumId w:val="25"/>
  </w:num>
  <w:num w:numId="12">
    <w:abstractNumId w:val="22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11"/>
  </w:num>
  <w:num w:numId="18">
    <w:abstractNumId w:val="13"/>
  </w:num>
  <w:num w:numId="19">
    <w:abstractNumId w:val="24"/>
  </w:num>
  <w:num w:numId="20">
    <w:abstractNumId w:val="17"/>
  </w:num>
  <w:num w:numId="21">
    <w:abstractNumId w:val="19"/>
  </w:num>
  <w:num w:numId="22">
    <w:abstractNumId w:val="6"/>
  </w:num>
  <w:num w:numId="23">
    <w:abstractNumId w:val="12"/>
  </w:num>
  <w:num w:numId="24">
    <w:abstractNumId w:val="10"/>
  </w:num>
  <w:num w:numId="25">
    <w:abstractNumId w:val="7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43B0"/>
    <w:rsid w:val="000F6A91"/>
    <w:rsid w:val="001003B8"/>
    <w:rsid w:val="00110D27"/>
    <w:rsid w:val="00117AF0"/>
    <w:rsid w:val="00120708"/>
    <w:rsid w:val="00123E52"/>
    <w:rsid w:val="00127634"/>
    <w:rsid w:val="00131A69"/>
    <w:rsid w:val="001423A7"/>
    <w:rsid w:val="00144F7C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2687C"/>
    <w:rsid w:val="00232A68"/>
    <w:rsid w:val="00252276"/>
    <w:rsid w:val="00256B69"/>
    <w:rsid w:val="00261943"/>
    <w:rsid w:val="00273A83"/>
    <w:rsid w:val="00273A94"/>
    <w:rsid w:val="00281EF6"/>
    <w:rsid w:val="00283F7B"/>
    <w:rsid w:val="002852D2"/>
    <w:rsid w:val="002A00F7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3306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87DC7"/>
    <w:rsid w:val="004A4EA6"/>
    <w:rsid w:val="004B7E0A"/>
    <w:rsid w:val="004C1211"/>
    <w:rsid w:val="004C2A6B"/>
    <w:rsid w:val="004D08E3"/>
    <w:rsid w:val="004D2170"/>
    <w:rsid w:val="004D453A"/>
    <w:rsid w:val="004E4D10"/>
    <w:rsid w:val="004F5760"/>
    <w:rsid w:val="0050293F"/>
    <w:rsid w:val="00510EB7"/>
    <w:rsid w:val="00512D8B"/>
    <w:rsid w:val="00515A1A"/>
    <w:rsid w:val="00516444"/>
    <w:rsid w:val="005259E6"/>
    <w:rsid w:val="00547C1C"/>
    <w:rsid w:val="00555E44"/>
    <w:rsid w:val="00576376"/>
    <w:rsid w:val="00582587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2384"/>
    <w:rsid w:val="005F64D3"/>
    <w:rsid w:val="005F7E4B"/>
    <w:rsid w:val="00612830"/>
    <w:rsid w:val="006129C1"/>
    <w:rsid w:val="00612D42"/>
    <w:rsid w:val="00613F75"/>
    <w:rsid w:val="00615C88"/>
    <w:rsid w:val="006205BA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2CFB"/>
    <w:rsid w:val="00663E75"/>
    <w:rsid w:val="006643D3"/>
    <w:rsid w:val="00670FBF"/>
    <w:rsid w:val="006721FF"/>
    <w:rsid w:val="00680DFF"/>
    <w:rsid w:val="00680E2C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84985"/>
    <w:rsid w:val="007910A3"/>
    <w:rsid w:val="00794A9F"/>
    <w:rsid w:val="007A562D"/>
    <w:rsid w:val="007D36D9"/>
    <w:rsid w:val="007D6ACD"/>
    <w:rsid w:val="007E136B"/>
    <w:rsid w:val="007E5B22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0687C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9F57CD"/>
    <w:rsid w:val="00A11999"/>
    <w:rsid w:val="00A241DC"/>
    <w:rsid w:val="00A37510"/>
    <w:rsid w:val="00A43B60"/>
    <w:rsid w:val="00A4562E"/>
    <w:rsid w:val="00A5013B"/>
    <w:rsid w:val="00A64098"/>
    <w:rsid w:val="00A64C6C"/>
    <w:rsid w:val="00A66F22"/>
    <w:rsid w:val="00A6791A"/>
    <w:rsid w:val="00A72E36"/>
    <w:rsid w:val="00A76CD9"/>
    <w:rsid w:val="00A84B7E"/>
    <w:rsid w:val="00A90DED"/>
    <w:rsid w:val="00A938E2"/>
    <w:rsid w:val="00A949CE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318F7"/>
    <w:rsid w:val="00B40C80"/>
    <w:rsid w:val="00B4101E"/>
    <w:rsid w:val="00B51D50"/>
    <w:rsid w:val="00B60398"/>
    <w:rsid w:val="00B621CA"/>
    <w:rsid w:val="00B62997"/>
    <w:rsid w:val="00B718D5"/>
    <w:rsid w:val="00B74954"/>
    <w:rsid w:val="00B74D63"/>
    <w:rsid w:val="00B80526"/>
    <w:rsid w:val="00B81791"/>
    <w:rsid w:val="00B83951"/>
    <w:rsid w:val="00B8445E"/>
    <w:rsid w:val="00BA5B12"/>
    <w:rsid w:val="00BA5F66"/>
    <w:rsid w:val="00BE0BC5"/>
    <w:rsid w:val="00BE154D"/>
    <w:rsid w:val="00BE161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34C7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06865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47C69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20FE"/>
    <w:rsid w:val="00EE747E"/>
    <w:rsid w:val="00EF08DA"/>
    <w:rsid w:val="00F01068"/>
    <w:rsid w:val="00F10790"/>
    <w:rsid w:val="00F27243"/>
    <w:rsid w:val="00F52598"/>
    <w:rsid w:val="00F64C15"/>
    <w:rsid w:val="00F73A5F"/>
    <w:rsid w:val="00F75E0D"/>
    <w:rsid w:val="00FA453D"/>
    <w:rsid w:val="00FA54C4"/>
    <w:rsid w:val="00FB4C49"/>
    <w:rsid w:val="00FB6662"/>
    <w:rsid w:val="00FC5F48"/>
    <w:rsid w:val="00FC7D31"/>
    <w:rsid w:val="00FD07FE"/>
    <w:rsid w:val="00FD1444"/>
    <w:rsid w:val="00FD35C6"/>
    <w:rsid w:val="00FD7282"/>
    <w:rsid w:val="00FE3F1F"/>
    <w:rsid w:val="00FF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hangslyoz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customStyle="1" w:styleId="ListTable7Colorful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Normltblzat"/>
    <w:uiPriority w:val="46"/>
    <w:rsid w:val="008E1B2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ltblzat"/>
    <w:uiPriority w:val="40"/>
    <w:rsid w:val="008E1B2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Normltblzat"/>
    <w:uiPriority w:val="43"/>
    <w:rsid w:val="004348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7896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D91CC-A560-444C-8D76-BC071F68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1043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Feri</cp:lastModifiedBy>
  <cp:revision>5</cp:revision>
  <dcterms:created xsi:type="dcterms:W3CDTF">2023-02-03T12:45:00Z</dcterms:created>
  <dcterms:modified xsi:type="dcterms:W3CDTF">2023-02-03T15:59:00Z</dcterms:modified>
</cp:coreProperties>
</file>