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.sz. Melléklet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Ajánlott minta: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Tant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árgyleírás, tantárgyi tematika és teljesítési követelmények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300" w:after="40" w:line="240"/>
        <w:ind w:right="0" w:left="0" w:firstLine="0"/>
        <w:jc w:val="left"/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</w:pP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Tantárgyi tematika és teljesítési követelmények </w:t>
      </w: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br/>
      </w: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2022</w:t>
      </w: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/</w:t>
      </w: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2023 1</w:t>
      </w: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. félév</w:t>
      </w:r>
    </w:p>
    <w:tbl>
      <w:tblPr/>
      <w:tblGrid>
        <w:gridCol w:w="3635"/>
        <w:gridCol w:w="6548"/>
      </w:tblGrid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Cím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Hidrogénen alapuló technológiák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Tárgykód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MN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Heti óraszám: ea/gy/lab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ea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Kreditpont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Szak(ok)/ típus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Tagozat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Követelmény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Félévközi jegy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Meghirdetés féléve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2023 2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.félév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őzetes k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övetelmény(ek)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Oktató tanszék(ek)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Villamos Hálózatok Tanszék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Tárgyfelel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ős 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Bakk Teodóra Diána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Oktatók</w:t>
            </w: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Bakk Teodóra Diána és Csordás Antal</w:t>
            </w:r>
          </w:p>
        </w:tc>
      </w:tr>
      <w:tr>
        <w:trPr>
          <w:trHeight w:val="1" w:hRule="atLeast"/>
          <w:jc w:val="left"/>
        </w:trPr>
        <w:tc>
          <w:tcPr>
            <w:tcW w:w="363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48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300" w:after="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C7C7C7" w:val="clear"/>
        </w:rPr>
      </w:pP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Tárgyleírás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Hidrogén, mint üzemanyag jöv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őbeni szerepe az energetik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ában. Átfogó ismeretek a hidrogénr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ől (biztons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ági megfontolások,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állítás, tárolás). PEM típusú tüzel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őanyag-cell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ák felépítése,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őbb elemei.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üzel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őanyag-cella fajt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ák áttekintése. Balance of Plant (BoP), avagy a tüzel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őanyag-cell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űk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ödéséhez szükséges kiegészít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 rendszerek. TC tesztel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ése, karakterisztikus görbe.  Degradációs folyamatok (visszafordítható, visszafordíthatatlan). Tüzel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őanyag-cell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ák alkalmazási lehet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égeinek részletes ismertetése (kis teljesítmény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ű, mobil-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és stacionárius alkalmazások). Elektrolizálók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űk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ödése és fajtái. Nap- és szélenergiával kapcsolt vízbontó rendszerek. Kitekintés a világba, megvalósult projektek.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300" w:after="40" w:line="240"/>
        <w:ind w:right="0" w:left="0" w:firstLine="0"/>
        <w:jc w:val="left"/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</w:pPr>
      <w:r>
        <w:rPr>
          <w:rFonts w:ascii="Calibri" w:hAnsi="Calibri" w:cs="Calibri" w:eastAsia="Calibri"/>
          <w:color w:val="auto"/>
          <w:spacing w:val="5"/>
          <w:position w:val="0"/>
          <w:sz w:val="32"/>
          <w:shd w:fill="C7C7C7" w:val="clear"/>
        </w:rPr>
        <w:t xml:space="preserve">Tárgytematika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(Neptunban: Oktatás/Tárgyak/Tárgy adatok/Tárgytematika ablak)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  <w:t xml:space="preserve">Az oktatás célja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Célkit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űz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ések és a tantárgy teljesítésével elérhet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 tanul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ási eredmények megfogalmazása. </w:t>
      </w:r>
    </w:p>
    <w:p>
      <w:pPr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(Neptunban: Oktatás/Tárgyak/Tárgy adatok/Tárgytematika/Oktatás célja rovat)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Hidrogénen alapuló technológiák megismerése. Tüzel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őanyag-cell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ás rendszerek felépítésének és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űk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ödésének elsajátítása. Hidrogén energetikában betöltött szerepének és alkalmazási lehet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égeinek megismerése.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  <w:t xml:space="preserve">A tantárgy tartalma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(Neptunban: Oktatás/Tárgyak/Tárgy adatok/Tárgytematika/Tantárgy tartalma rovat)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tbl>
      <w:tblPr>
        <w:tblInd w:w="142" w:type="dxa"/>
      </w:tblPr>
      <w:tblGrid>
        <w:gridCol w:w="1843"/>
        <w:gridCol w:w="8505"/>
      </w:tblGrid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2"/>
                <w:shd w:fill="auto" w:val="clear"/>
              </w:rPr>
              <w:t xml:space="preserve">Témakörök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2"/>
                <w:shd w:fill="auto" w:val="clear"/>
              </w:rPr>
              <w:t xml:space="preserve">őad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2"/>
                <w:shd w:fill="auto" w:val="clear"/>
              </w:rPr>
              <w:t xml:space="preserve">ás</w:t>
            </w:r>
          </w:p>
        </w:tc>
        <w:tc>
          <w:tcPr>
            <w:tcW w:w="8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Hidrogén, mint üzemanyag. Miért épp hidrogén?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Hidrogénstratégiák. Energiaválság.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Hidrogén tulajdonságai. Hidrogénbiztonság.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Hidrogén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állítása és tárolása.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PEM típusú 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felépítése,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ödése, komponensek. (Bipoláris lap, katalizátor, membrán)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őanyag-cella fajt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ák.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Balance of Plant (BoP), avagy a 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ödéséhez szükséges kiegészít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 rendszerek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rendszerek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ödtetése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tesztelése, karakterisztikus görbe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Degradációs folyamatok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.ZH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Ismerkedés 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rendszerekkel, demonstráció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I. (Kis teljesítmény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 TC-k)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I. (Kis teljesítmény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 TC-k)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II. (Járm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űipari alkalmaz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ások)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II. (Járm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űipari alkalmaz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ások)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III. (Stacionárius alkalmazások)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alkalmazások III. (Stacionárius alkalmazások)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teljesítmény elektronikája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 teljesítmény elektronikája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Elektrolizálók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ödése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Elektrolizálók típusai,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ök és hátrányok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Napenergiával, szélenergiával kapcsolt vízbontó rendszerek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Megvalósult projektek a világból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Demonstráció</w:t>
            </w:r>
          </w:p>
          <w:p>
            <w:pPr>
              <w:numPr>
                <w:ilvl w:val="0"/>
                <w:numId w:val="49"/>
              </w:numPr>
              <w:spacing w:before="0" w:after="0" w:line="259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.ZH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00FF00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4"/>
          <w:shd w:fill="auto" w:val="clear"/>
        </w:rPr>
        <w:t xml:space="preserve">Részletes tantárgyi program és a követelmények ütemezése</w:t>
      </w:r>
    </w:p>
    <w:p>
      <w:pPr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Jelezzük az oktatási szüneteket is!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11"/>
        <w:gridCol w:w="3827"/>
        <w:gridCol w:w="1985"/>
        <w:gridCol w:w="1842"/>
        <w:gridCol w:w="1985"/>
      </w:tblGrid>
      <w:tr>
        <w:trPr>
          <w:trHeight w:val="1" w:hRule="atLeast"/>
          <w:jc w:val="left"/>
        </w:trPr>
        <w:tc>
          <w:tcPr>
            <w:tcW w:w="10350" w:type="dxa"/>
            <w:gridSpan w:val="5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2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Calibri" w:hAnsi="Calibri" w:cs="Calibri" w:eastAsia="Calibri"/>
                <w:color w:val="000000"/>
                <w:spacing w:val="20"/>
                <w:position w:val="0"/>
                <w:sz w:val="22"/>
                <w:shd w:fill="auto" w:val="clear"/>
              </w:rPr>
              <w:t xml:space="preserve">ŐAD</w:t>
            </w:r>
            <w:r>
              <w:rPr>
                <w:rFonts w:ascii="Calibri" w:hAnsi="Calibri" w:cs="Calibri" w:eastAsia="Calibri"/>
                <w:color w:val="000000"/>
                <w:spacing w:val="20"/>
                <w:position w:val="0"/>
                <w:sz w:val="22"/>
                <w:shd w:fill="auto" w:val="clear"/>
              </w:rPr>
              <w:t xml:space="preserve">ÁS 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Okta-tási hét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Téma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irodalom hivatkoz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ás, oldalszám (-tól-ig)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Teljesítend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feladat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(beadand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ó, zárthelyi, stb.)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Teljesítés ideje, határideje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Hidrogén, mint üzemanyag. Miért épp hidrogén? Hidrogénstratégiák. Energiaválság.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1-9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 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Hidrogén tulajdonságai, hidrogénbiztonság. Hidrogén 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állítása és tárolása.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9-19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106-109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 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PEM típusú 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 felépítése,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ödése, komponensek. (Bipoláris lap, katalizátor, membrán) 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őanyag-cella fajt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ák.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16-28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 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37-42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45-53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Balance of Plant (BoP), avagy a 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ödéséhez szükséges kiegészít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 rendszerek.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rendszerek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ödtetése.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56-63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 tesztelése, karakterisztikus görbe. Degradációs folyamatok.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53-58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 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Ismerkedés gyakorlatban a 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rendszerekkel, demonstráció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.ZH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alkalmazások I. (Kis teljesítmény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 TC-k)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83-85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alkalmazások II. (Járm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űipari alkalmaz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ások)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85-95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alkalmazások III. (Stacionárius alkalmazások)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96-97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Tüzel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őanyag-cell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 teljesítmény elektronikája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7-29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Elektrolizálók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űk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ödése. Elektrolizálók típusai, el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őny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ök és hátrányok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1-5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 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Napenergiával, szélenergiával kapcsolt vízbontó rendszerek. Megvalósult projektek a világból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11-15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o.</w:t>
            </w: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TC rendszerek demonstráció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.ZH</w:t>
            </w: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666666" w:sz="4"/>
              <w:left w:val="single" w:color="666666" w:sz="4"/>
              <w:bottom w:val="single" w:color="666666" w:sz="4"/>
              <w:right w:val="single" w:color="66666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  <w:t xml:space="preserve">Számonkérési és értékelési rendszer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(Neptunban: Oktatás/Tárgyak/Tárgy adatok/Tárgytematika/Számonkérési és értékelési rendszere rovat)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Jelenléti és részvételi követelmények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PTE TVSz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.§ 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) és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9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. számú melléklet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3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§ szabályozása szerint a hallgató számára az adott tárgyból érdemjegy, illetve min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ítés szerzése csak abban az esetben tagadható meg hiányzás miatt, ha nappali tagozaton egy tantárgy esetén a tantárgyi tematikában 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őir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ányzott foglalkozások több mint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30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%-áról hiányzott.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 jelenlét ellen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őrz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ésének módja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(pl.: jelenléti ív / online teszt/ jegyz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önyv, stb.)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Jelenléti ív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Számonkérések </w:t>
      </w:r>
    </w:p>
    <w:p>
      <w:pPr>
        <w:keepNext w:val="true"/>
        <w:spacing w:before="0" w:after="0" w:line="240"/>
        <w:ind w:right="0" w:left="708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A tantárgy követelménytípusának megfelel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 rovatok 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öltend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 ki (f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élévközi jeggyel, vagy vizsgával záruló tantárgyak). A másik típus rovatai törölhet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ők.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40" w:after="140" w:line="240"/>
        <w:ind w:right="1440" w:left="1440" w:hanging="144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Félévközi jegy</w:t>
      </w:r>
    </w:p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Félévközi ellen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őrz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ések, teljesítményértékelések és részarányuk a min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ős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ítésben </w:t>
      </w:r>
    </w:p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(A táblázat példái törlend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ők.)</w:t>
      </w:r>
    </w:p>
    <w:tbl>
      <w:tblPr>
        <w:tblInd w:w="840" w:type="dxa"/>
      </w:tblPr>
      <w:tblGrid>
        <w:gridCol w:w="4695"/>
        <w:gridCol w:w="1665"/>
        <w:gridCol w:w="2115"/>
      </w:tblGrid>
      <w:tr>
        <w:trPr>
          <w:trHeight w:val="300" w:hRule="auto"/>
          <w:jc w:val="left"/>
        </w:trPr>
        <w:tc>
          <w:tcPr>
            <w:tcW w:w="469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Típus</w:t>
            </w:r>
          </w:p>
        </w:tc>
        <w:tc>
          <w:tcPr>
            <w:tcW w:w="16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Értékelés</w:t>
            </w:r>
          </w:p>
        </w:tc>
        <w:tc>
          <w:tcPr>
            <w:tcW w:w="211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Részarány a min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ítésben</w:t>
            </w:r>
          </w:p>
        </w:tc>
      </w:tr>
      <w:tr>
        <w:trPr>
          <w:trHeight w:val="300" w:hRule="auto"/>
          <w:jc w:val="left"/>
        </w:trPr>
        <w:tc>
          <w:tcPr>
            <w:tcW w:w="469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5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pl.: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. ZH</w:t>
            </w:r>
          </w:p>
        </w:tc>
        <w:tc>
          <w:tcPr>
            <w:tcW w:w="16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max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pont</w:t>
            </w:r>
          </w:p>
        </w:tc>
        <w:tc>
          <w:tcPr>
            <w:tcW w:w="211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300" w:hRule="auto"/>
          <w:jc w:val="left"/>
        </w:trPr>
        <w:tc>
          <w:tcPr>
            <w:tcW w:w="469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pl.: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. ZH</w:t>
            </w:r>
          </w:p>
        </w:tc>
        <w:tc>
          <w:tcPr>
            <w:tcW w:w="16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max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pont</w:t>
            </w:r>
          </w:p>
        </w:tc>
        <w:tc>
          <w:tcPr>
            <w:tcW w:w="211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dfdfd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</w:tbl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Az aláírás megszerzésének feltétele </w:t>
      </w:r>
    </w:p>
    <w:p>
      <w:pPr>
        <w:spacing w:before="0" w:after="0" w:line="240"/>
        <w:ind w:right="0" w:left="851" w:hanging="142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(Pl.: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%-os évközi min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ítés.)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%-os évközi 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ítés és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65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%-os jelenlét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Pótlási lehet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ős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égek az aláírás megszerzéséhez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(PTE TVSz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§(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))</w:t>
      </w:r>
    </w:p>
    <w:p>
      <w:pPr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A javításra, ismétlésre és pótlásra vonatkozó különös szabályokat a TVSZ általános szabályaival együttesen kell értelmezni és alkalmazni: </w:t>
      </w:r>
    </w:p>
    <w:p>
      <w:pPr>
        <w:spacing w:before="0" w:after="0" w:line="240"/>
        <w:ind w:right="0" w:left="709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Minden ZH és a beadandó jegyz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önyvek,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, a szorgalmi id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őszakban legal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ább egy-egy alkalommal pótolhatók/javíthatók, továbbá a vizsgaid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őszak első 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ét hetében legalább egy alkalommal lehetséges a ZH-k, a beadandók,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, javítása/pótlása az aláírás megszerzése érekében.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.ZH és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.ZH pótlása szorgalmi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őszakban a ZH-t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övet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éten. További pótlási alkalom a vizsgaid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őszak első 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ében.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Az érdemjegy kialakítása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(TVSz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47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§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3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))</w:t>
      </w:r>
    </w:p>
    <w:p>
      <w:pPr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DFDFDF" w:val="clear"/>
        </w:rPr>
        <w:t xml:space="preserve">  100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DFDFD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%-ban az évközi teljesítmény,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DFDFDF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DFDFDF" w:val="clear"/>
        </w:rPr>
        <w:t xml:space="preserve">0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%-ban a vizsgán nyújtott teljesítmény alapján történik.</w:t>
      </w:r>
    </w:p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Az érdemjegy megállapítása az összesített teljesítmény alapján %-os bontásban</w:t>
      </w:r>
    </w:p>
    <w:p>
      <w:pPr>
        <w:spacing w:before="0" w:after="0" w:line="240"/>
        <w:ind w:right="0" w:left="851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129" w:type="dxa"/>
      </w:tblPr>
      <w:tblGrid>
        <w:gridCol w:w="1696"/>
        <w:gridCol w:w="3549"/>
      </w:tblGrid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Érdemjegy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Teljesítmény %-ban kifejezve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jeles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jó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...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közepes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...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elégséges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...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51" w:hanging="85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elégtelen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354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51" w:hanging="851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alatt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egyes érdemjegyeknél megadott alsó határérték már az adott érdemjegyhez tartozik.</w:t>
      </w:r>
    </w:p>
    <w:p>
      <w:pPr>
        <w:spacing w:before="0" w:after="0" w:line="240"/>
        <w:ind w:right="0" w:left="851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8"/>
          <w:shd w:fill="auto" w:val="clear"/>
        </w:rPr>
        <w:t xml:space="preserve">Irodalom</w:t>
      </w:r>
    </w:p>
    <w:p>
      <w:pPr>
        <w:spacing w:before="0" w:after="0" w:line="240"/>
        <w:ind w:right="0" w:left="708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Felsorolás fontossági sorrendben. (Neptunban: Oktatás/Tárgyak/Tárgy adatok/Tárgytematika/Irodalom rovat)</w:t>
      </w:r>
    </w:p>
    <w:p>
      <w:pPr>
        <w:spacing w:before="0" w:after="0" w:line="240"/>
        <w:ind w:right="0" w:left="1559" w:hanging="851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Kötelez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ő irodalom 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és elérhet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ős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ége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.] Fuel Cell Handbook (Seventh Edition)- EG and G Technical Services, Inc.  (online letölthet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.] Hidrogén és metanol gazdaság - Mayer Zoltán, Kriston Ákos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393939"/>
          <w:spacing w:val="1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Ajánlott irodalom és elérhet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ős</w:t>
      </w:r>
      <w:r>
        <w:rPr>
          <w:rFonts w:ascii="Calibri" w:hAnsi="Calibri" w:cs="Calibri" w:eastAsia="Calibri"/>
          <w:b/>
          <w:color w:val="auto"/>
          <w:spacing w:val="10"/>
          <w:position w:val="0"/>
          <w:sz w:val="22"/>
          <w:u w:val="single"/>
          <w:shd w:fill="auto" w:val="clear"/>
        </w:rPr>
        <w:t xml:space="preserve">ége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.] An overview of hydrogen production technologies - J.D. Holladay *, J. Hu, D.L. King, Y. Wang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Pacific Northwest National Laboratory,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Battelle Blvd., Richland, WA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99352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USA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.] A review of PEM fuel cell durability: Degradation mechanisms and mitigation strategies - Jinfeng Wu a, Xiao Zi Yuan a, Jonathan J. Martin a, Haijiang Wang a,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Jiujun Zhang a,Jun Shen a, Shaohong Wu a, Walter Merida a,a Institute for Fuel Cell Innovation, National Research Council of Canada, Vancouver, B.C., Canada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Department of Mechanical Engineering, University of British Columbia, Vancouver, B.C., Canada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2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.] A comprehensive review on PEM water electrolysis - Marcelo Carmo a,*, David L. Fritz a, Ju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̈ rgen Mergel a, Detlef Stolten a,b</w:t>
      </w:r>
    </w:p>
    <w:p>
      <w:pPr>
        <w:spacing w:before="2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Forschungszentrum Ju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̈ lich GmbH, Institute of Energy and Climate Research, IEK-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Electrochemical Process Engineering,</w:t>
      </w:r>
    </w:p>
    <w:p>
      <w:pPr>
        <w:spacing w:before="2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52425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̈ lich, Germany b Chair for Fuel Cells, RWTH Aachen University, Germany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https://www.hfc-hungary.org/elektrolizis/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 Texas Instruments: Power Topologies Handbook - Markus Zehendner, Matthias Ulmann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https://www.ti.com/seclit/ug/slyu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036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/slyu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036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.pdf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6">
    <w:abstractNumId w:val="24"/>
  </w:num>
  <w:num w:numId="41">
    <w:abstractNumId w:val="18"/>
  </w:num>
  <w:num w:numId="49">
    <w:abstractNumId w:val="12"/>
  </w:num>
  <w:num w:numId="119">
    <w:abstractNumId w:val="6"/>
  </w:num>
  <w:num w:numId="1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hfc-hungary.org/elektrolizis/" Id="docRId0" Type="http://schemas.openxmlformats.org/officeDocument/2006/relationships/hyperlink" /><Relationship TargetMode="External" Target="https://www.ti.com/seclit/ug/slyu036/slyu036.pd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