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63EB7F5" w:rsidR="003A23E0" w:rsidRPr="00092478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92478">
        <w:t>2022</w:t>
      </w:r>
      <w:r w:rsidR="00647A74" w:rsidRPr="00092478">
        <w:t>/</w:t>
      </w:r>
      <w:r w:rsidR="00092478">
        <w:t>2023</w:t>
      </w:r>
      <w:r w:rsidRPr="00092478">
        <w:t xml:space="preserve"> </w:t>
      </w:r>
      <w:r w:rsidR="00092478">
        <w:t>II.</w:t>
      </w:r>
      <w:r w:rsidRPr="00092478">
        <w:t xml:space="preserve"> félév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637494" w14:paraId="1B01C61F" w14:textId="77777777" w:rsidTr="008F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9D6A49E" w:rsidR="00AD4BC7" w:rsidRPr="00C57EA7" w:rsidRDefault="00092478" w:rsidP="00B40C80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C57EA7">
              <w:rPr>
                <w:rFonts w:asciiTheme="majorHAnsi" w:hAnsiTheme="majorHAnsi"/>
                <w:color w:val="auto"/>
                <w:sz w:val="24"/>
                <w:szCs w:val="24"/>
              </w:rPr>
              <w:t>Épületgépészet az építőipari tervezésben</w:t>
            </w:r>
          </w:p>
        </w:tc>
      </w:tr>
      <w:tr w:rsidR="00637494" w:rsidRPr="00637494" w14:paraId="1B01C622" w14:textId="77777777" w:rsidTr="008F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3A88839" w:rsidR="00AD4BC7" w:rsidRPr="00AF5724" w:rsidRDefault="0009247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92478">
              <w:rPr>
                <w:rFonts w:asciiTheme="majorHAnsi" w:hAnsiTheme="majorHAnsi"/>
                <w:b/>
                <w:i w:val="0"/>
                <w:color w:val="auto"/>
              </w:rPr>
              <w:t>SZB021MN</w:t>
            </w:r>
          </w:p>
        </w:tc>
      </w:tr>
      <w:tr w:rsidR="00637494" w:rsidRPr="00637494" w14:paraId="1B01C625" w14:textId="77777777" w:rsidTr="008F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3BE1877" w:rsidR="00AD4BC7" w:rsidRPr="00AF5724" w:rsidRDefault="00092478" w:rsidP="00827A9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0/</w:t>
            </w:r>
            <w:r w:rsidR="00827A90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827A90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8F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D784AB2" w:rsidR="00AD4BC7" w:rsidRPr="00AF5724" w:rsidRDefault="0009247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bookmarkStart w:id="0" w:name="_GoBack"/>
            <w:bookmarkEnd w:id="0"/>
          </w:p>
        </w:tc>
      </w:tr>
      <w:tr w:rsidR="00637494" w:rsidRPr="00637494" w14:paraId="1B01C62B" w14:textId="77777777" w:rsidTr="008F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D99C3B2" w:rsidR="00AD4BC7" w:rsidRPr="00AF5724" w:rsidRDefault="0009247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Szabadon választható</w:t>
            </w:r>
          </w:p>
        </w:tc>
      </w:tr>
      <w:tr w:rsidR="00637494" w:rsidRPr="00637494" w14:paraId="1B01C62E" w14:textId="77777777" w:rsidTr="008F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D57586D" w:rsidR="00AD4BC7" w:rsidRPr="00AF5724" w:rsidRDefault="00092478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8F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DF75E17" w:rsidR="00AD4BC7" w:rsidRPr="00AF5724" w:rsidRDefault="0009247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92478"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8F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9477F14" w:rsidR="00AD4BC7" w:rsidRPr="00AF5724" w:rsidRDefault="0009247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2022/2023/2</w:t>
            </w:r>
          </w:p>
        </w:tc>
      </w:tr>
      <w:tr w:rsidR="00637494" w:rsidRPr="00637494" w14:paraId="1B01C637" w14:textId="77777777" w:rsidTr="008F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092478" w:rsidRPr="00637494" w14:paraId="1B01C63A" w14:textId="77777777" w:rsidTr="008F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092478" w:rsidRPr="00637494" w:rsidRDefault="00092478" w:rsidP="0009247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44879D4" w:rsidR="00092478" w:rsidRPr="00AF5724" w:rsidRDefault="00092478" w:rsidP="0009247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Épületgépész- és Létesítménymérnöki Tanszék</w:t>
            </w:r>
          </w:p>
        </w:tc>
      </w:tr>
      <w:tr w:rsidR="00092478" w:rsidRPr="00637494" w14:paraId="1B01C63D" w14:textId="77777777" w:rsidTr="008F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092478" w:rsidRPr="00637494" w:rsidRDefault="00092478" w:rsidP="0009247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CCE1985" w:rsidR="00092478" w:rsidRPr="00AF5724" w:rsidRDefault="00092478" w:rsidP="00092478">
            <w:pPr>
              <w:rPr>
                <w:rFonts w:asciiTheme="majorHAnsi" w:hAnsiTheme="majorHAnsi"/>
                <w:b/>
                <w:color w:val="auto"/>
              </w:rPr>
            </w:pPr>
            <w:r w:rsidRPr="00707E95">
              <w:rPr>
                <w:rFonts w:asciiTheme="majorHAnsi" w:hAnsiTheme="majorHAnsi"/>
                <w:b/>
                <w:color w:val="auto"/>
              </w:rPr>
              <w:t>Dr. Cakó Balázs</w:t>
            </w:r>
          </w:p>
        </w:tc>
      </w:tr>
      <w:tr w:rsidR="00092478" w:rsidRPr="00637494" w14:paraId="1B01C640" w14:textId="77777777" w:rsidTr="008F4C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2FA80477" w:rsidR="00092478" w:rsidRPr="00637494" w:rsidRDefault="00092478" w:rsidP="00092478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9B5D68F" w:rsidR="00092478" w:rsidRPr="00AF5724" w:rsidRDefault="00092478" w:rsidP="00092478">
            <w:pPr>
              <w:rPr>
                <w:rFonts w:asciiTheme="majorHAnsi" w:hAnsiTheme="majorHAnsi"/>
                <w:b w:val="0"/>
                <w:color w:val="auto"/>
              </w:rPr>
            </w:pPr>
            <w:r w:rsidRPr="00707E95">
              <w:rPr>
                <w:rFonts w:asciiTheme="majorHAnsi" w:hAnsiTheme="majorHAnsi"/>
                <w:color w:val="auto"/>
              </w:rPr>
              <w:t>Dr. Cakó Balázs</w:t>
            </w: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AC4922D" w14:textId="1FC33C40" w:rsidR="00D251CD" w:rsidRPr="00637494" w:rsidRDefault="00092478" w:rsidP="00637494">
      <w:pPr>
        <w:shd w:val="clear" w:color="auto" w:fill="DFDFDF" w:themeFill="background2" w:themeFillShade="E6"/>
      </w:pPr>
      <w:r w:rsidRPr="00092478">
        <w:t>A tárgy keretében tárgyaljuk egy újonnan létesített épület energetikai követelményeit, a követelményrendszernek való megfelelés módját. Ezt követően vizsgáljuk az adott épület környez</w:t>
      </w:r>
      <w:r>
        <w:t xml:space="preserve">etében rendelkezésre álló közmű </w:t>
      </w:r>
      <w:r w:rsidRPr="00092478">
        <w:t xml:space="preserve">hálózatokat. Ennek megfelelően meghatározzuk, mind energetikai, mind pedig költséghatékony üzemeltetést lehetővé tevő alkalmazható gépészeti rendszereket, szem előtt tartva a beruházási költségek várható alakulását. A gépészeti </w:t>
      </w:r>
      <w:proofErr w:type="gramStart"/>
      <w:r w:rsidRPr="00092478">
        <w:t>koncepció</w:t>
      </w:r>
      <w:proofErr w:type="gramEnd"/>
      <w:r w:rsidRPr="00092478">
        <w:t xml:space="preserve"> alapján rendszerséma kerül kialakításra.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092478" w:rsidRDefault="00023F6C" w:rsidP="00207007">
      <w:pPr>
        <w:pStyle w:val="Cmsor1"/>
        <w:shd w:val="clear" w:color="auto" w:fill="C7C7C7" w:themeFill="accent1" w:themeFillShade="E6"/>
      </w:pPr>
      <w:r w:rsidRPr="00092478">
        <w:t>Tárgytematika</w:t>
      </w:r>
    </w:p>
    <w:p w14:paraId="712BD539" w14:textId="133C209A" w:rsidR="005C08F1" w:rsidRPr="0063460E" w:rsidRDefault="00E13611" w:rsidP="007E75CA">
      <w:pPr>
        <w:pStyle w:val="Cmsor2"/>
        <w:numPr>
          <w:ilvl w:val="0"/>
          <w:numId w:val="25"/>
        </w:numPr>
        <w:ind w:left="426"/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5DDA1A64" w14:textId="6EF633C2" w:rsidR="004348FE" w:rsidRPr="00637494" w:rsidRDefault="00092478" w:rsidP="00D251CD">
      <w:pPr>
        <w:shd w:val="clear" w:color="auto" w:fill="DFDFDF" w:themeFill="background2" w:themeFillShade="E6"/>
      </w:pPr>
      <w:r w:rsidRPr="00092478">
        <w:t xml:space="preserve">A tárgy oktatásának célja, hogy a nem épületgépész hallgatók megismerkedjenek az építőiparban előforduló épületgépészeti alapokkal, mellyel hatékonyan tudnak részt venni egy a szakági tervezőkkel történő </w:t>
      </w:r>
      <w:proofErr w:type="gramStart"/>
      <w:r w:rsidRPr="00092478">
        <w:t>kooperációban</w:t>
      </w:r>
      <w:proofErr w:type="gramEnd"/>
      <w:r w:rsidRPr="00092478">
        <w:t xml:space="preserve">. Továbbá az építészeti tervezés során figyelembe tudják venni, a gépészeti rendszerek sajátosságait, helyigényét, </w:t>
      </w:r>
      <w:proofErr w:type="spellStart"/>
      <w:r w:rsidRPr="00092478">
        <w:t>stb</w:t>
      </w:r>
      <w:proofErr w:type="spellEnd"/>
      <w:r w:rsidRPr="00092478">
        <w:t>…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Pr="00092478" w:rsidRDefault="00576376" w:rsidP="00576376"/>
    <w:p w14:paraId="57AD0700" w14:textId="4DAFB0CA" w:rsidR="009B4F16" w:rsidRPr="00A241DC" w:rsidRDefault="003E046B" w:rsidP="007E75CA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0C9C20B6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DDEA625" w14:textId="32D4A7C1" w:rsidR="002C2A02" w:rsidRDefault="00D251CD" w:rsidP="002C2A0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Az épület </w:t>
            </w:r>
            <w:proofErr w:type="gramStart"/>
            <w:r>
              <w:rPr>
                <w:i/>
                <w:iCs/>
                <w:color w:val="969696" w:themeColor="accent3"/>
              </w:rPr>
              <w:t>funkciójához</w:t>
            </w:r>
            <w:proofErr w:type="gramEnd"/>
            <w:r>
              <w:rPr>
                <w:i/>
                <w:iCs/>
                <w:color w:val="969696" w:themeColor="accent3"/>
              </w:rPr>
              <w:t xml:space="preserve"> kapcsolódó épületgépészeti megoldások.</w:t>
            </w:r>
          </w:p>
          <w:p w14:paraId="7C1EC054" w14:textId="08EB149C" w:rsidR="00D251CD" w:rsidRDefault="00D251CD" w:rsidP="002C2A02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épületgépészeti berendezések és a térrendezés összefüggései.</w:t>
            </w:r>
          </w:p>
          <w:p w14:paraId="28609530" w14:textId="77777777" w:rsidR="00D251CD" w:rsidRDefault="00D251CD" w:rsidP="00D251C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Az ingatlan </w:t>
            </w:r>
            <w:r w:rsidRPr="00D251CD">
              <w:rPr>
                <w:i/>
                <w:iCs/>
                <w:color w:val="969696" w:themeColor="accent3"/>
              </w:rPr>
              <w:t>közműellátottság</w:t>
            </w:r>
            <w:r>
              <w:rPr>
                <w:i/>
                <w:iCs/>
                <w:color w:val="969696" w:themeColor="accent3"/>
              </w:rPr>
              <w:t>ának vizsgálata. Az</w:t>
            </w:r>
            <w:r w:rsidRPr="00D251CD">
              <w:rPr>
                <w:i/>
                <w:iCs/>
                <w:color w:val="969696" w:themeColor="accent3"/>
              </w:rPr>
              <w:t xml:space="preserve"> épületen / telken belül a mérők (villamos, gáz, víz, stb..)</w:t>
            </w:r>
            <w:r>
              <w:rPr>
                <w:i/>
                <w:iCs/>
                <w:color w:val="969696" w:themeColor="accent3"/>
              </w:rPr>
              <w:t xml:space="preserve">, </w:t>
            </w:r>
            <w:proofErr w:type="spellStart"/>
            <w:r>
              <w:rPr>
                <w:i/>
                <w:iCs/>
                <w:color w:val="969696" w:themeColor="accent3"/>
              </w:rPr>
              <w:t>főelzárók</w:t>
            </w:r>
            <w:proofErr w:type="spellEnd"/>
            <w:r w:rsidRPr="00D251CD">
              <w:rPr>
                <w:i/>
                <w:iCs/>
                <w:color w:val="969696" w:themeColor="accent3"/>
              </w:rPr>
              <w:t xml:space="preserve"> helyei</w:t>
            </w:r>
            <w:r>
              <w:rPr>
                <w:i/>
                <w:iCs/>
                <w:color w:val="969696" w:themeColor="accent3"/>
              </w:rPr>
              <w:t>, helyigényei.</w:t>
            </w:r>
          </w:p>
          <w:p w14:paraId="46B9EF61" w14:textId="77777777" w:rsidR="00D251CD" w:rsidRDefault="00D251CD" w:rsidP="00D251C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épületgépészeti műtárgyak elhelyezésének szabályai épített környezetben.</w:t>
            </w:r>
          </w:p>
          <w:p w14:paraId="4C3D0BED" w14:textId="0C248B0F" w:rsidR="00D251CD" w:rsidRDefault="00D251CD" w:rsidP="00D251C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</w:t>
            </w:r>
            <w:r w:rsidRPr="00D251CD">
              <w:rPr>
                <w:i/>
                <w:iCs/>
                <w:color w:val="969696" w:themeColor="accent3"/>
              </w:rPr>
              <w:t xml:space="preserve">gépészeti tér méretét és kialakítását befolyásoló </w:t>
            </w:r>
            <w:r>
              <w:rPr>
                <w:i/>
                <w:iCs/>
                <w:color w:val="969696" w:themeColor="accent3"/>
              </w:rPr>
              <w:t>tényezők. (</w:t>
            </w:r>
            <w:r w:rsidRPr="00D251CD">
              <w:rPr>
                <w:i/>
                <w:iCs/>
                <w:color w:val="969696" w:themeColor="accent3"/>
              </w:rPr>
              <w:t>pl. légkezelőgép, hőtermelő, tárolók, stb.. eszközök mérete helyigénye</w:t>
            </w:r>
            <w:r>
              <w:rPr>
                <w:i/>
                <w:iCs/>
                <w:color w:val="969696" w:themeColor="accent3"/>
              </w:rPr>
              <w:t>).</w:t>
            </w:r>
          </w:p>
          <w:p w14:paraId="1B8E4831" w14:textId="77777777" w:rsidR="00D251CD" w:rsidRDefault="00D251CD" w:rsidP="00D251C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7/2006 TNM. rendelet ismertetése, az energetikai követelményeknek történő megfelelés céljából.</w:t>
            </w:r>
          </w:p>
          <w:p w14:paraId="48D0D957" w14:textId="77777777" w:rsidR="00D251CD" w:rsidRDefault="00D251CD" w:rsidP="00D251C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r</w:t>
            </w:r>
            <w:r w:rsidRPr="00D251CD">
              <w:rPr>
                <w:i/>
                <w:iCs/>
                <w:color w:val="969696" w:themeColor="accent3"/>
              </w:rPr>
              <w:t>étegtervi hőátbocsátási tényezők</w:t>
            </w:r>
            <w:r>
              <w:rPr>
                <w:i/>
                <w:iCs/>
                <w:color w:val="969696" w:themeColor="accent3"/>
              </w:rPr>
              <w:t xml:space="preserve"> meghatározásának menete, hőhídveszteségek, követelményrendszer.</w:t>
            </w:r>
          </w:p>
          <w:p w14:paraId="03AC85F8" w14:textId="24334948" w:rsidR="00D251CD" w:rsidRPr="00D251CD" w:rsidRDefault="00D251CD" w:rsidP="00D251CD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épületgépészeti, villamos és egyéb rendszerek közötti logikai kapcsolatok. Folyamatábrák készítése.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D251CD" w:rsidRDefault="00576376" w:rsidP="00576376"/>
    <w:p w14:paraId="73ABE56D" w14:textId="77777777" w:rsidR="002C2A02" w:rsidRDefault="002C2A02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3290AF90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D25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714701DE" w:rsidR="0074781F" w:rsidRPr="000263D0" w:rsidRDefault="0074781F" w:rsidP="007E75CA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637494" w:rsidRPr="00637494" w14:paraId="3DA4E880" w14:textId="77777777" w:rsidTr="00D25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DC336B" w:rsidRPr="00637494" w14:paraId="0B06AF13" w14:textId="77777777" w:rsidTr="00D25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DC336B" w:rsidRPr="00637494" w:rsidRDefault="00DC336B" w:rsidP="00DC336B">
            <w:r w:rsidRPr="00637494">
              <w:t>2.</w:t>
            </w:r>
          </w:p>
        </w:tc>
        <w:tc>
          <w:tcPr>
            <w:tcW w:w="3832" w:type="dxa"/>
          </w:tcPr>
          <w:p w14:paraId="2963B4C0" w14:textId="7ADA3FEA" w:rsidR="00827A90" w:rsidRDefault="00827A90" w:rsidP="00DC33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 xml:space="preserve">Az épület </w:t>
            </w:r>
            <w:proofErr w:type="gramStart"/>
            <w:r w:rsidRPr="00DC336B">
              <w:rPr>
                <w:iCs/>
                <w:color w:val="auto"/>
              </w:rPr>
              <w:t>funkciójához</w:t>
            </w:r>
            <w:proofErr w:type="gramEnd"/>
            <w:r w:rsidRPr="00DC336B">
              <w:rPr>
                <w:iCs/>
                <w:color w:val="auto"/>
              </w:rPr>
              <w:t xml:space="preserve"> kapcsolódó épületgépészeti megoldások.</w:t>
            </w:r>
          </w:p>
          <w:p w14:paraId="6DE185F6" w14:textId="3F793E9C" w:rsidR="00DC336B" w:rsidRPr="00DC336B" w:rsidRDefault="00DC336B" w:rsidP="00DC33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>Az épületgépészeti berendezések és a térrendezés összefüggései.</w:t>
            </w:r>
          </w:p>
        </w:tc>
        <w:tc>
          <w:tcPr>
            <w:tcW w:w="1985" w:type="dxa"/>
          </w:tcPr>
          <w:p w14:paraId="7FDD328A" w14:textId="77777777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EED1B8F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7361D3C9" w14:textId="22F77C20" w:rsidR="00DC336B" w:rsidRPr="00637494" w:rsidRDefault="00DC336B" w:rsidP="00C5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12.-1</w:t>
            </w:r>
            <w:r w:rsidR="00C57EA7">
              <w:t>4</w:t>
            </w:r>
            <w:r>
              <w:t>. hét.</w:t>
            </w:r>
          </w:p>
        </w:tc>
      </w:tr>
      <w:tr w:rsidR="00DC336B" w:rsidRPr="00637494" w14:paraId="4AA4DCCD" w14:textId="77777777" w:rsidTr="00D25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DC336B" w:rsidRPr="00637494" w:rsidRDefault="00DC336B" w:rsidP="00DC336B">
            <w:r w:rsidRPr="00637494">
              <w:t>4.</w:t>
            </w:r>
          </w:p>
        </w:tc>
        <w:tc>
          <w:tcPr>
            <w:tcW w:w="3832" w:type="dxa"/>
          </w:tcPr>
          <w:p w14:paraId="2F5F4CF5" w14:textId="77777777" w:rsidR="00827A90" w:rsidRDefault="00827A90" w:rsidP="00DC33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 xml:space="preserve">Az ingatlan közműellátottságának vizsgálata. Az épületen / telken belül a mérők (villamos, gáz, víz, stb..), </w:t>
            </w:r>
            <w:proofErr w:type="spellStart"/>
            <w:r w:rsidRPr="00DC336B">
              <w:rPr>
                <w:iCs/>
                <w:color w:val="auto"/>
              </w:rPr>
              <w:t>főelzárók</w:t>
            </w:r>
            <w:proofErr w:type="spellEnd"/>
            <w:r w:rsidRPr="00DC336B">
              <w:rPr>
                <w:iCs/>
                <w:color w:val="auto"/>
              </w:rPr>
              <w:t xml:space="preserve"> helyei, helyigényei.</w:t>
            </w:r>
          </w:p>
          <w:p w14:paraId="135C8098" w14:textId="240A049A" w:rsidR="00DC336B" w:rsidRPr="00DC336B" w:rsidRDefault="00DC336B" w:rsidP="00DC33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>Az épületgépészeti műtárgyak elhelyezésének szabályai épített környezetben.</w:t>
            </w:r>
          </w:p>
        </w:tc>
        <w:tc>
          <w:tcPr>
            <w:tcW w:w="1985" w:type="dxa"/>
          </w:tcPr>
          <w:p w14:paraId="5EBDF333" w14:textId="77777777" w:rsidR="00DC336B" w:rsidRPr="00637494" w:rsidRDefault="00DC336B" w:rsidP="00DC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254E53" w:rsidR="00DC336B" w:rsidRPr="00637494" w:rsidRDefault="00DC336B" w:rsidP="00DC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6C606F90" w14:textId="32FE3F58" w:rsidR="00DC336B" w:rsidRPr="00637494" w:rsidRDefault="00DC336B" w:rsidP="00C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12.-1</w:t>
            </w:r>
            <w:r w:rsidR="00C57EA7">
              <w:t>4</w:t>
            </w:r>
            <w:r>
              <w:t>. hét.</w:t>
            </w:r>
          </w:p>
        </w:tc>
      </w:tr>
      <w:tr w:rsidR="00DC336B" w:rsidRPr="00637494" w14:paraId="6DD2615D" w14:textId="77777777" w:rsidTr="00D25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DC336B" w:rsidRPr="00637494" w:rsidRDefault="00DC336B" w:rsidP="00DC336B">
            <w:r w:rsidRPr="00637494">
              <w:t>6.</w:t>
            </w:r>
          </w:p>
        </w:tc>
        <w:tc>
          <w:tcPr>
            <w:tcW w:w="3832" w:type="dxa"/>
          </w:tcPr>
          <w:p w14:paraId="1D7CCB7E" w14:textId="77777777" w:rsidR="00827A90" w:rsidRDefault="00827A90" w:rsidP="00DC33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>A gépészeti tér méretét és kialakítását befolyásoló tényezők. (pl. légkezelőgép, hőtermelő, tárolók, stb.. eszközök mérete helyigénye).</w:t>
            </w:r>
          </w:p>
          <w:p w14:paraId="60176CDA" w14:textId="40FBF899" w:rsidR="00DC336B" w:rsidRPr="00DC336B" w:rsidRDefault="00DC336B" w:rsidP="00DC33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>A 7/2006 TNM. rendelet ismertetése, az energetikai követelményeknek történő megfelelés céljából.</w:t>
            </w:r>
          </w:p>
        </w:tc>
        <w:tc>
          <w:tcPr>
            <w:tcW w:w="1985" w:type="dxa"/>
          </w:tcPr>
          <w:p w14:paraId="2A808A38" w14:textId="23539115" w:rsidR="00827A90" w:rsidRDefault="00827A90" w:rsidP="008F4C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37494">
              <w:rPr>
                <w:rFonts w:cstheme="minorHAnsi"/>
              </w:rPr>
              <w:t>[</w:t>
            </w:r>
            <w:r>
              <w:rPr>
                <w:rFonts w:cstheme="minorHAnsi"/>
              </w:rPr>
              <w:t>2.</w:t>
            </w:r>
            <w:r w:rsidRPr="00637494">
              <w:rPr>
                <w:rFonts w:cstheme="minorHAnsi"/>
              </w:rPr>
              <w:t>]</w:t>
            </w:r>
            <w:r>
              <w:rPr>
                <w:rFonts w:cstheme="minorHAnsi"/>
              </w:rPr>
              <w:t xml:space="preserve"> 1.-6. oldal</w:t>
            </w:r>
          </w:p>
          <w:p w14:paraId="57F185BB" w14:textId="3DCBA19E" w:rsidR="00827A90" w:rsidRDefault="00827A90" w:rsidP="008F4C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040FDA" w14:textId="77777777" w:rsidR="00827A90" w:rsidRDefault="00827A90" w:rsidP="008F4C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</w:p>
          <w:p w14:paraId="7DB7C441" w14:textId="5125998D" w:rsidR="00DC336B" w:rsidRPr="00637494" w:rsidRDefault="008F4C2A" w:rsidP="008F4C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36B">
              <w:rPr>
                <w:iCs/>
                <w:color w:val="auto"/>
              </w:rPr>
              <w:t>7/2006 TNM.</w:t>
            </w:r>
            <w:r>
              <w:rPr>
                <w:iCs/>
                <w:color w:val="auto"/>
              </w:rPr>
              <w:t xml:space="preserve"> netjogtár felületén elérhető.</w:t>
            </w:r>
          </w:p>
        </w:tc>
        <w:tc>
          <w:tcPr>
            <w:tcW w:w="1842" w:type="dxa"/>
          </w:tcPr>
          <w:p w14:paraId="0DF0E262" w14:textId="703E31B6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6D298B50" w14:textId="1104C1D8" w:rsidR="00DC336B" w:rsidRPr="00637494" w:rsidRDefault="00DC336B" w:rsidP="00C5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12.-1</w:t>
            </w:r>
            <w:r w:rsidR="00C57EA7">
              <w:t>4</w:t>
            </w:r>
            <w:r>
              <w:t>. hét.</w:t>
            </w:r>
          </w:p>
        </w:tc>
      </w:tr>
      <w:tr w:rsidR="00DC336B" w:rsidRPr="00637494" w14:paraId="309BE744" w14:textId="77777777" w:rsidTr="00D25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C336B" w:rsidRPr="00637494" w:rsidRDefault="00DC336B" w:rsidP="00DC336B">
            <w:r w:rsidRPr="00637494">
              <w:t>8.</w:t>
            </w:r>
          </w:p>
        </w:tc>
        <w:tc>
          <w:tcPr>
            <w:tcW w:w="3832" w:type="dxa"/>
          </w:tcPr>
          <w:p w14:paraId="23C7B8BC" w14:textId="5201B4C3" w:rsidR="00827A90" w:rsidRDefault="00827A90" w:rsidP="00DC33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>A rétegtervi hőátbocsátási tényezők meghatározásának menete, hőhídveszteségek, követelményrendszer.</w:t>
            </w:r>
          </w:p>
          <w:p w14:paraId="1B7FB672" w14:textId="77777777" w:rsidR="00DC336B" w:rsidRDefault="00DC336B" w:rsidP="00DC33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 w:rsidRPr="00DC336B">
              <w:rPr>
                <w:iCs/>
                <w:color w:val="auto"/>
              </w:rPr>
              <w:t>Az épületgépészeti, villamos és egyéb rendszerek közötti logikai kapcsolatok. Folyamatábrák készítése.</w:t>
            </w:r>
          </w:p>
          <w:p w14:paraId="4434B8B1" w14:textId="77777777" w:rsidR="00C57EA7" w:rsidRDefault="00C57EA7" w:rsidP="00C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C336B">
              <w:t xml:space="preserve">Példaszámítások készítése közösen. </w:t>
            </w:r>
            <w:r>
              <w:br/>
            </w:r>
            <w:r w:rsidRPr="00DC336B">
              <w:t>Az önálló hallgatói munka ellenőrzése közösen.</w:t>
            </w:r>
          </w:p>
          <w:p w14:paraId="58B6C9EC" w14:textId="359E3F7C" w:rsidR="00C57EA7" w:rsidRPr="00DC336B" w:rsidRDefault="00C57EA7" w:rsidP="00C57E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i/>
              </w:rPr>
              <w:t>A</w:t>
            </w:r>
            <w:r>
              <w:t xml:space="preserve"> Műszaki Karon található épületgépészeti laborok és hőközpontok bejárása.</w:t>
            </w:r>
          </w:p>
        </w:tc>
        <w:tc>
          <w:tcPr>
            <w:tcW w:w="1985" w:type="dxa"/>
          </w:tcPr>
          <w:p w14:paraId="776D5020" w14:textId="6C9D0F16" w:rsidR="00DC336B" w:rsidRPr="00637494" w:rsidRDefault="00827A90" w:rsidP="00DC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494">
              <w:rPr>
                <w:rFonts w:cstheme="minorHAnsi"/>
              </w:rPr>
              <w:t>[</w:t>
            </w:r>
            <w:r>
              <w:rPr>
                <w:rFonts w:cstheme="minorHAnsi"/>
              </w:rPr>
              <w:t>1.</w:t>
            </w:r>
            <w:r w:rsidRPr="00637494">
              <w:rPr>
                <w:rFonts w:cstheme="minorHAnsi"/>
              </w:rPr>
              <w:t>]</w:t>
            </w:r>
            <w:r>
              <w:rPr>
                <w:rFonts w:cstheme="minorHAnsi"/>
              </w:rPr>
              <w:t xml:space="preserve"> 97.-104. oldal</w:t>
            </w:r>
          </w:p>
        </w:tc>
        <w:tc>
          <w:tcPr>
            <w:tcW w:w="1842" w:type="dxa"/>
          </w:tcPr>
          <w:p w14:paraId="37A7E352" w14:textId="56D05CC5" w:rsidR="00DC336B" w:rsidRPr="00637494" w:rsidRDefault="00DC336B" w:rsidP="00DC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3EC898D5" w14:textId="6CE410C4" w:rsidR="00DC336B" w:rsidRPr="00637494" w:rsidRDefault="00DC336B" w:rsidP="00C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12.-1</w:t>
            </w:r>
            <w:r w:rsidR="00C57EA7">
              <w:t>4</w:t>
            </w:r>
            <w:r>
              <w:t>. hét.</w:t>
            </w:r>
          </w:p>
        </w:tc>
      </w:tr>
      <w:tr w:rsidR="00DC336B" w:rsidRPr="00637494" w14:paraId="666ABF7F" w14:textId="77777777" w:rsidTr="00D25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C336B" w:rsidRPr="00637494" w:rsidRDefault="00DC336B" w:rsidP="00DC336B">
            <w:r w:rsidRPr="00637494">
              <w:t>9.</w:t>
            </w:r>
          </w:p>
        </w:tc>
        <w:tc>
          <w:tcPr>
            <w:tcW w:w="3832" w:type="dxa"/>
          </w:tcPr>
          <w:p w14:paraId="787183E0" w14:textId="7D4C9371" w:rsidR="00DC336B" w:rsidRPr="00DC336B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36B">
              <w:t>Oktatási szünet.</w:t>
            </w:r>
          </w:p>
        </w:tc>
        <w:tc>
          <w:tcPr>
            <w:tcW w:w="1985" w:type="dxa"/>
          </w:tcPr>
          <w:p w14:paraId="35DD2249" w14:textId="77777777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36B" w:rsidRPr="00637494" w14:paraId="42376C8F" w14:textId="77777777" w:rsidTr="00D25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DC336B" w:rsidRPr="00637494" w:rsidRDefault="00DC336B" w:rsidP="00DC336B">
            <w:r w:rsidRPr="00637494">
              <w:t>12.</w:t>
            </w:r>
          </w:p>
        </w:tc>
        <w:tc>
          <w:tcPr>
            <w:tcW w:w="3832" w:type="dxa"/>
          </w:tcPr>
          <w:p w14:paraId="4DA3EE25" w14:textId="565CBDB2" w:rsidR="00DC336B" w:rsidRPr="00DC336B" w:rsidRDefault="00C57EA7" w:rsidP="00C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prezentációk.</w:t>
            </w:r>
          </w:p>
        </w:tc>
        <w:tc>
          <w:tcPr>
            <w:tcW w:w="1985" w:type="dxa"/>
          </w:tcPr>
          <w:p w14:paraId="24F3EA45" w14:textId="77777777" w:rsidR="00DC336B" w:rsidRPr="00637494" w:rsidRDefault="00DC336B" w:rsidP="00DC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24769565" w:rsidR="00DC336B" w:rsidRPr="00637494" w:rsidRDefault="00827A90" w:rsidP="00DC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0BEA9A8B" w14:textId="4A2A5571" w:rsidR="00DC336B" w:rsidRPr="00637494" w:rsidRDefault="00827A90" w:rsidP="00C5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12.-1</w:t>
            </w:r>
            <w:r w:rsidR="00C57EA7">
              <w:t>4</w:t>
            </w:r>
            <w:r>
              <w:t>. hét.</w:t>
            </w:r>
          </w:p>
        </w:tc>
      </w:tr>
      <w:tr w:rsidR="00DC336B" w:rsidRPr="00637494" w14:paraId="2F0B24DB" w14:textId="77777777" w:rsidTr="00D25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DC336B" w:rsidRPr="00637494" w:rsidRDefault="00DC336B" w:rsidP="00DC336B">
            <w:r w:rsidRPr="00637494">
              <w:t>14.</w:t>
            </w:r>
          </w:p>
        </w:tc>
        <w:tc>
          <w:tcPr>
            <w:tcW w:w="3832" w:type="dxa"/>
          </w:tcPr>
          <w:p w14:paraId="55BB4E40" w14:textId="58E84322" w:rsidR="00DC336B" w:rsidRPr="00DC336B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36B">
              <w:t>Hallgatói prezentációk.</w:t>
            </w:r>
          </w:p>
        </w:tc>
        <w:tc>
          <w:tcPr>
            <w:tcW w:w="1985" w:type="dxa"/>
          </w:tcPr>
          <w:p w14:paraId="0DB5D21B" w14:textId="77777777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DC336B" w:rsidRPr="00637494" w:rsidRDefault="00DC336B" w:rsidP="00DC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30B1B342" w:rsidR="008F4C2A" w:rsidRDefault="008F4C2A">
      <w:pPr>
        <w:rPr>
          <w:lang w:val="en-US"/>
        </w:rPr>
      </w:pPr>
      <w:r>
        <w:rPr>
          <w:lang w:val="en-US"/>
        </w:rPr>
        <w:br w:type="page"/>
      </w:r>
    </w:p>
    <w:p w14:paraId="23C91BA5" w14:textId="3A7E4A2E" w:rsidR="009B4F16" w:rsidRPr="0063460E" w:rsidRDefault="009B4F16" w:rsidP="00E76795">
      <w:pPr>
        <w:pStyle w:val="Cmsor2"/>
        <w:numPr>
          <w:ilvl w:val="0"/>
          <w:numId w:val="25"/>
        </w:numPr>
        <w:ind w:left="284"/>
        <w:rPr>
          <w:b/>
          <w:bCs/>
          <w:lang w:val="en-US"/>
        </w:rPr>
      </w:pPr>
      <w:r w:rsidRPr="0063460E">
        <w:rPr>
          <w:b/>
          <w:bCs/>
          <w:lang w:val="en-US"/>
        </w:rPr>
        <w:lastRenderedPageBreak/>
        <w:t xml:space="preserve">Számonkérési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2CB7EA3" w14:textId="44CAFA5C" w:rsidR="004348FE" w:rsidRPr="00E76795" w:rsidRDefault="0074781F" w:rsidP="00E76795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446EF95D" w14:textId="0BFBB04E" w:rsidR="00891215" w:rsidRPr="00E15443" w:rsidRDefault="00E76795" w:rsidP="00E15443">
      <w:pPr>
        <w:shd w:val="clear" w:color="auto" w:fill="DFDFDF" w:themeFill="background2" w:themeFillShade="E6"/>
      </w:pPr>
      <w:r w:rsidRPr="00E76795">
        <w:t>A jelenlét ellenőrzésének módja jelenléti ív. Az érdemjegy megtagadható hiányzás miatt, ha nappali tagozaton, a tantárgyi tematikában előirányzott foglalkozások több mint 30%-</w:t>
      </w:r>
      <w:proofErr w:type="spellStart"/>
      <w:r w:rsidRPr="00E76795">
        <w:t>áról</w:t>
      </w:r>
      <w:proofErr w:type="spellEnd"/>
      <w:r w:rsidRPr="00E76795">
        <w:t xml:space="preserve"> hiányzott.</w:t>
      </w:r>
    </w:p>
    <w:p w14:paraId="09A453A3" w14:textId="77777777" w:rsidR="00E15443" w:rsidRPr="00092478" w:rsidRDefault="00E15443" w:rsidP="00E15443"/>
    <w:p w14:paraId="3EC9BEC5" w14:textId="42030A06" w:rsidR="00593342" w:rsidRPr="00092478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092478">
        <w:rPr>
          <w:b/>
          <w:bCs/>
          <w:color w:val="auto"/>
          <w:u w:val="single"/>
        </w:rPr>
        <w:t>Számonkérések</w:t>
      </w:r>
      <w:r w:rsidR="005E2090" w:rsidRPr="00092478">
        <w:rPr>
          <w:b/>
          <w:bCs/>
          <w:color w:val="auto"/>
          <w:u w:val="single"/>
        </w:rPr>
        <w:t xml:space="preserve"> </w:t>
      </w:r>
    </w:p>
    <w:p w14:paraId="19175A4F" w14:textId="09FBCC25" w:rsidR="00CE73E0" w:rsidRDefault="00E76795" w:rsidP="00891215">
      <w:pPr>
        <w:keepNext/>
      </w:pPr>
      <w:r>
        <w:t xml:space="preserve">A félév értékelése a szorgalmi időszak végén, vagy a hallgatósággal egyeztetett időpontban megrendezésre kerülő prezentáció alapján történik. A prezentáció során a hallgató bemutatja az ismeretanyag elsajátítását követően a saját épületére kidolgozott épületgépészeti </w:t>
      </w:r>
      <w:proofErr w:type="gramStart"/>
      <w:r>
        <w:t>koncepciót</w:t>
      </w:r>
      <w:proofErr w:type="gramEnd"/>
      <w:r>
        <w:t>. A prezentáció készülhet PowerPoint-</w:t>
      </w:r>
      <w:proofErr w:type="spellStart"/>
      <w:r>
        <w:t>tal</w:t>
      </w:r>
      <w:proofErr w:type="spellEnd"/>
      <w:r>
        <w:t>, de má</w:t>
      </w:r>
      <w:r w:rsidR="00C57EA7">
        <w:t>s</w:t>
      </w:r>
      <w:r>
        <w:t xml:space="preserve"> prezentációs eszköz is elfogadható, mely </w:t>
      </w:r>
      <w:proofErr w:type="gramStart"/>
      <w:r>
        <w:t>kimenthető .</w:t>
      </w:r>
      <w:proofErr w:type="spellStart"/>
      <w:r>
        <w:t>pdf</w:t>
      </w:r>
      <w:proofErr w:type="spellEnd"/>
      <w:proofErr w:type="gramEnd"/>
      <w:r>
        <w:t xml:space="preserve"> formátumban.</w:t>
      </w:r>
    </w:p>
    <w:p w14:paraId="5FE235A9" w14:textId="05E67D78" w:rsidR="00E76795" w:rsidRDefault="00E76795" w:rsidP="00891215">
      <w:pPr>
        <w:keepNext/>
      </w:pPr>
    </w:p>
    <w:p w14:paraId="766816F1" w14:textId="4B492020" w:rsidR="00E76795" w:rsidRDefault="00E76795" w:rsidP="00891215">
      <w:pPr>
        <w:keepNext/>
      </w:pPr>
      <w:r>
        <w:t>A prezentáció tartalmi követelménye:</w:t>
      </w:r>
    </w:p>
    <w:p w14:paraId="610F8045" w14:textId="5F7C5D0E" w:rsidR="00E76795" w:rsidRDefault="00E76795" w:rsidP="00E76795">
      <w:pPr>
        <w:keepNext/>
      </w:pPr>
      <w:r>
        <w:t>- Legfeljebb 8 perces (kb. 8 dia) prezentációban kell bemutatni a következőket.</w:t>
      </w:r>
    </w:p>
    <w:p w14:paraId="6E024CA3" w14:textId="208081FE" w:rsidR="00E76795" w:rsidRDefault="00E76795" w:rsidP="00E76795">
      <w:pPr>
        <w:keepNext/>
      </w:pPr>
      <w:r>
        <w:t>- A prezentáció megjelenését nézve megkötés nincs.</w:t>
      </w:r>
    </w:p>
    <w:p w14:paraId="2AB8BC72" w14:textId="25C38292" w:rsidR="00E76795" w:rsidRDefault="00E76795" w:rsidP="00E76795">
      <w:pPr>
        <w:keepNext/>
      </w:pPr>
      <w:r>
        <w:t xml:space="preserve">- Az épület </w:t>
      </w:r>
      <w:proofErr w:type="gramStart"/>
      <w:r>
        <w:t>funkciójának</w:t>
      </w:r>
      <w:proofErr w:type="gramEnd"/>
      <w:r>
        <w:t xml:space="preserve"> bemutatása (alaprajz / 3D-s látványterv - opcionális).</w:t>
      </w:r>
    </w:p>
    <w:p w14:paraId="0C22320A" w14:textId="3F2CF8E8" w:rsidR="00E76795" w:rsidRDefault="00E76795" w:rsidP="00E76795">
      <w:pPr>
        <w:keepNext/>
      </w:pPr>
      <w:r>
        <w:t xml:space="preserve">- Közműellátottság, épületen / telken belül a mérők (villamos, gáz, víz, stb..) helyei, a </w:t>
      </w:r>
      <w:proofErr w:type="spellStart"/>
      <w:r>
        <w:t>főelzárók</w:t>
      </w:r>
      <w:proofErr w:type="spellEnd"/>
      <w:r>
        <w:t xml:space="preserve"> helyei.</w:t>
      </w:r>
    </w:p>
    <w:p w14:paraId="16E66E32" w14:textId="79160AB0" w:rsidR="00E76795" w:rsidRDefault="00E76795" w:rsidP="00E76795">
      <w:pPr>
        <w:keepNext/>
      </w:pPr>
      <w:r>
        <w:t>- Releváns nyomvonalak: pl. szennyvíz, légtechnika (ez utóbbi lehetőleg mérethelyesen) - alaprajzon / metszeten ábrázolva.</w:t>
      </w:r>
    </w:p>
    <w:p w14:paraId="211E2F5C" w14:textId="527EF3C5" w:rsidR="00E76795" w:rsidRDefault="00E76795" w:rsidP="00E76795">
      <w:pPr>
        <w:keepNext/>
      </w:pPr>
      <w:r>
        <w:t xml:space="preserve">- Gépészeti tér méretét és kialakítása, eszközök mérete helyigénye pl. légkezelőgép, hőtermelő, tárolók, </w:t>
      </w:r>
      <w:proofErr w:type="spellStart"/>
      <w:r>
        <w:t>stb</w:t>
      </w:r>
      <w:proofErr w:type="spellEnd"/>
      <w:r>
        <w:t>…</w:t>
      </w:r>
    </w:p>
    <w:p w14:paraId="1E0BA2EF" w14:textId="619C5E65" w:rsidR="00E76795" w:rsidRDefault="00E76795" w:rsidP="00E76795">
      <w:pPr>
        <w:keepNext/>
      </w:pPr>
      <w:r>
        <w:t>- Rétegtervi hőátbocsátási tényezők eredményei, akár egy releváns metszeten ábrázolva.</w:t>
      </w:r>
    </w:p>
    <w:p w14:paraId="3F765B61" w14:textId="41E274B0" w:rsidR="00E76795" w:rsidRDefault="00C57EA7" w:rsidP="00E76795">
      <w:pPr>
        <w:keepNext/>
      </w:pPr>
      <w:r>
        <w:t xml:space="preserve">- </w:t>
      </w:r>
      <w:r w:rsidR="00E76795">
        <w:t>Ez opcionális, de javasolt: az épület energetikai számításának főbb eredményei (fajlagos hőveszteségtényező, összesített energetikai jellemző, besorolás).</w:t>
      </w:r>
    </w:p>
    <w:p w14:paraId="33F0E861" w14:textId="311422BC" w:rsidR="00E76795" w:rsidRDefault="00E76795" w:rsidP="00E76795">
      <w:pPr>
        <w:keepNext/>
      </w:pPr>
      <w:r>
        <w:t xml:space="preserve">- Gépészeti </w:t>
      </w:r>
      <w:proofErr w:type="gramStart"/>
      <w:r>
        <w:t>koncepció</w:t>
      </w:r>
      <w:proofErr w:type="gramEnd"/>
      <w:r>
        <w:t xml:space="preserve"> blokksémája, melyben bemutatják, milyen berendezések oldják meg az épületgépészetet és azok milyen logikai kapcsolatban vannak.</w:t>
      </w:r>
    </w:p>
    <w:p w14:paraId="304A5DC2" w14:textId="09EBFFC4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="008F4C2A">
        <w:rPr>
          <w:sz w:val="22"/>
          <w:szCs w:val="22"/>
        </w:rPr>
        <w:t>tárgy</w:t>
      </w: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69BA90F" w:rsidR="001C439B" w:rsidRPr="00E15443" w:rsidRDefault="00E76795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44991EBF" w:rsidR="001C439B" w:rsidRPr="00E15443" w:rsidRDefault="00E76795" w:rsidP="00E76795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33C2DD8B" w:rsidR="001C439B" w:rsidRPr="00E15443" w:rsidRDefault="00E76795" w:rsidP="00E76795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2D0A56F7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</w:p>
    <w:p w14:paraId="7CFCB82C" w14:textId="6200A909" w:rsidR="00E76795" w:rsidRPr="003E046B" w:rsidRDefault="00E76795" w:rsidP="00E76795">
      <w:pPr>
        <w:shd w:val="clear" w:color="auto" w:fill="DFDFDF" w:themeFill="background2" w:themeFillShade="E6"/>
      </w:pPr>
      <w:r>
        <w:t xml:space="preserve">A </w:t>
      </w:r>
      <w:r w:rsidRPr="0089779F">
        <w:t xml:space="preserve">PTE </w:t>
      </w:r>
      <w:proofErr w:type="spellStart"/>
      <w:r w:rsidRPr="0089779F">
        <w:t>TVSz</w:t>
      </w:r>
      <w:proofErr w:type="spellEnd"/>
      <w:r w:rsidRPr="0089779F">
        <w:t xml:space="preserve"> 47§(4))</w:t>
      </w:r>
      <w:r>
        <w:t xml:space="preserve"> pontjával összhangban a szorgalmi időszakban pótlási és javítási lehetőség biztosított.</w:t>
      </w:r>
    </w:p>
    <w:p w14:paraId="27244C3E" w14:textId="41B6D59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E76795">
      <w:pPr>
        <w:pStyle w:val="Cmsor2"/>
        <w:numPr>
          <w:ilvl w:val="0"/>
          <w:numId w:val="25"/>
        </w:numPr>
        <w:ind w:left="426"/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4B2C05C3" w14:textId="64C524EC" w:rsidR="004348FE" w:rsidRPr="00092478" w:rsidRDefault="004348FE" w:rsidP="004C1211">
      <w:pPr>
        <w:pStyle w:val="Cmsor5"/>
        <w:rPr>
          <w:b/>
          <w:bCs/>
          <w:color w:val="auto"/>
          <w:u w:val="single"/>
        </w:rPr>
      </w:pPr>
      <w:r w:rsidRPr="00092478">
        <w:rPr>
          <w:b/>
          <w:bCs/>
          <w:color w:val="auto"/>
          <w:u w:val="single"/>
        </w:rPr>
        <w:t>Kötelező irodalom és elérhetősége</w:t>
      </w:r>
    </w:p>
    <w:p w14:paraId="72E5EEFE" w14:textId="2E6B2D1F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E76795">
        <w:rPr>
          <w:rFonts w:cstheme="minorHAnsi"/>
        </w:rPr>
        <w:t xml:space="preserve">Dr. </w:t>
      </w:r>
      <w:r w:rsidR="00DC336B">
        <w:rPr>
          <w:rFonts w:cstheme="minorHAnsi"/>
        </w:rPr>
        <w:t>Zöld András, Épületgépészet 2000 Alapismeretek – Épületgépészet kiadó Kft. Budapest, 2000</w:t>
      </w:r>
    </w:p>
    <w:p w14:paraId="3E7C82D0" w14:textId="3B989E11" w:rsidR="00E76795" w:rsidRDefault="004348FE" w:rsidP="00E76795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E76795">
        <w:t>Dr. Bánhidi László, Dr. Kajtár László, Szabó János, Zárt terek komfortkövetelményei - méretezési alapok MSZ CR 1752 és EU 15251</w:t>
      </w:r>
    </w:p>
    <w:p w14:paraId="2D446661" w14:textId="77777777" w:rsidR="008F4C2A" w:rsidRDefault="008F4C2A" w:rsidP="00E76795">
      <w:r>
        <w:t xml:space="preserve">A kötelező források elérhetőek az </w:t>
      </w:r>
      <w:proofErr w:type="spellStart"/>
      <w:r>
        <w:t>eGTSZ</w:t>
      </w:r>
      <w:proofErr w:type="spellEnd"/>
      <w:r>
        <w:t xml:space="preserve"> FTP szerverén</w:t>
      </w:r>
      <w:r w:rsidRPr="008F4C2A">
        <w:t xml:space="preserve">: ftp://19-92.mik.pte.hu, felhasználónév: </w:t>
      </w:r>
      <w:proofErr w:type="spellStart"/>
      <w:r w:rsidRPr="008F4C2A">
        <w:t>epgepism</w:t>
      </w:r>
      <w:proofErr w:type="spellEnd"/>
      <w:r w:rsidRPr="008F4C2A">
        <w:t xml:space="preserve">, jelszó nincs. </w:t>
      </w:r>
    </w:p>
    <w:p w14:paraId="181C0DF2" w14:textId="48ACEE72" w:rsidR="008F4C2A" w:rsidRDefault="008F4C2A" w:rsidP="00E76795">
      <w:r w:rsidRPr="008F4C2A">
        <w:t>(A webböngészők már nem támogatják az FTP kapcsolatot, javasolt a Windows intéző használata).</w:t>
      </w:r>
    </w:p>
    <w:p w14:paraId="238BB60F" w14:textId="717D5A55" w:rsidR="004348FE" w:rsidRPr="00092478" w:rsidRDefault="004348FE" w:rsidP="004C1211">
      <w:pPr>
        <w:pStyle w:val="Cmsor5"/>
        <w:rPr>
          <w:b/>
          <w:bCs/>
          <w:color w:val="auto"/>
          <w:u w:val="single"/>
        </w:rPr>
      </w:pPr>
      <w:r w:rsidRPr="00092478">
        <w:rPr>
          <w:b/>
          <w:bCs/>
          <w:color w:val="auto"/>
          <w:u w:val="single"/>
        </w:rPr>
        <w:t>Ajánlott irodalom és elérhetősége</w:t>
      </w:r>
    </w:p>
    <w:p w14:paraId="0D37079B" w14:textId="77777777" w:rsidR="00E76795" w:rsidRPr="0089779F" w:rsidRDefault="00E76795" w:rsidP="00E76795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3.</w:t>
      </w:r>
      <w:r w:rsidRPr="00637494">
        <w:rPr>
          <w:rFonts w:cstheme="minorHAnsi"/>
        </w:rPr>
        <w:t xml:space="preserve">] </w:t>
      </w:r>
      <w:r w:rsidRPr="0089779F">
        <w:rPr>
          <w:rFonts w:cstheme="minorHAnsi"/>
        </w:rPr>
        <w:t>Dr. Zöld András (</w:t>
      </w:r>
      <w:proofErr w:type="spellStart"/>
      <w:r w:rsidRPr="0089779F">
        <w:rPr>
          <w:rFonts w:cstheme="minorHAnsi"/>
        </w:rPr>
        <w:t>szerk</w:t>
      </w:r>
      <w:proofErr w:type="spellEnd"/>
      <w:r w:rsidRPr="0089779F">
        <w:rPr>
          <w:rFonts w:cstheme="minorHAnsi"/>
        </w:rPr>
        <w:t>): Épületenergetika (segédlet), Kiadó: BAUSOFT Pécsvárad Kft, 2006, 2009</w:t>
      </w:r>
    </w:p>
    <w:p w14:paraId="132B8EF7" w14:textId="77777777" w:rsidR="00E76795" w:rsidRPr="00637494" w:rsidRDefault="00E76795" w:rsidP="00E76795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4.</w:t>
      </w:r>
      <w:r w:rsidRPr="00637494">
        <w:rPr>
          <w:rFonts w:cstheme="minorHAnsi"/>
        </w:rPr>
        <w:t xml:space="preserve">] </w:t>
      </w:r>
      <w:r w:rsidRPr="0089779F">
        <w:rPr>
          <w:rFonts w:cstheme="minorHAnsi"/>
        </w:rPr>
        <w:t>Dr. Zöld András: Energiatudatos építészet, Műszaki Könyvkiadó 1999</w:t>
      </w:r>
    </w:p>
    <w:p w14:paraId="0918626A" w14:textId="77777777" w:rsidR="00E76795" w:rsidRDefault="00E76795" w:rsidP="00E76795">
      <w:pPr>
        <w:rPr>
          <w:rFonts w:cstheme="minorHAnsi"/>
        </w:rPr>
      </w:pPr>
      <w:r w:rsidRPr="00637494">
        <w:rPr>
          <w:rFonts w:cstheme="minorHAnsi"/>
        </w:rPr>
        <w:t>[</w:t>
      </w:r>
      <w:r>
        <w:rPr>
          <w:rFonts w:cstheme="minorHAnsi"/>
        </w:rPr>
        <w:t>5.</w:t>
      </w:r>
      <w:r w:rsidRPr="00637494">
        <w:rPr>
          <w:rFonts w:cstheme="minorHAnsi"/>
        </w:rPr>
        <w:t xml:space="preserve">] </w:t>
      </w:r>
      <w:r w:rsidRPr="0089779F">
        <w:rPr>
          <w:rFonts w:cstheme="minorHAnsi"/>
        </w:rPr>
        <w:t>Dr. Zöld András: Épületenergetika, BME, 1996</w:t>
      </w:r>
    </w:p>
    <w:p w14:paraId="7D51D980" w14:textId="01D27CE2" w:rsidR="004348FE" w:rsidRPr="00637494" w:rsidRDefault="00E76795" w:rsidP="008F4C2A">
      <w:r w:rsidRPr="00637494">
        <w:rPr>
          <w:rFonts w:cstheme="minorHAnsi"/>
        </w:rPr>
        <w:t>[</w:t>
      </w:r>
      <w:r>
        <w:rPr>
          <w:rFonts w:cstheme="minorHAnsi"/>
        </w:rPr>
        <w:t>6.</w:t>
      </w:r>
      <w:r w:rsidRPr="00637494">
        <w:rPr>
          <w:rFonts w:cstheme="minorHAnsi"/>
        </w:rPr>
        <w:t xml:space="preserve">] </w:t>
      </w:r>
      <w:r w:rsidRPr="0089779F">
        <w:rPr>
          <w:rFonts w:cstheme="minorHAnsi"/>
        </w:rPr>
        <w:t>Baumann Mihály: Épületenergetika, Kiadó: Magyar Mérnöki Kamara, 2017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AD67" w14:textId="77777777" w:rsidR="00C93DCB" w:rsidRDefault="00C93DCB" w:rsidP="00AD4BC7">
      <w:r>
        <w:separator/>
      </w:r>
    </w:p>
  </w:endnote>
  <w:endnote w:type="continuationSeparator" w:id="0">
    <w:p w14:paraId="2457D685" w14:textId="77777777" w:rsidR="00C93DCB" w:rsidRDefault="00C93D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3314BF3A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A7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76F6" w14:textId="77777777" w:rsidR="00C93DCB" w:rsidRDefault="00C93DCB" w:rsidP="00AD4BC7">
      <w:r>
        <w:separator/>
      </w:r>
    </w:p>
  </w:footnote>
  <w:footnote w:type="continuationSeparator" w:id="0">
    <w:p w14:paraId="791D39F7" w14:textId="77777777" w:rsidR="00C93DCB" w:rsidRDefault="00C93D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3540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69B0B4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5CA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4670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C5A059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7"/>
  </w:num>
  <w:num w:numId="9">
    <w:abstractNumId w:val="20"/>
  </w:num>
  <w:num w:numId="10">
    <w:abstractNumId w:val="25"/>
  </w:num>
  <w:num w:numId="11">
    <w:abstractNumId w:val="30"/>
  </w:num>
  <w:num w:numId="12">
    <w:abstractNumId w:val="27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29"/>
  </w:num>
  <w:num w:numId="20">
    <w:abstractNumId w:val="21"/>
  </w:num>
  <w:num w:numId="21">
    <w:abstractNumId w:val="23"/>
  </w:num>
  <w:num w:numId="22">
    <w:abstractNumId w:val="6"/>
  </w:num>
  <w:num w:numId="23">
    <w:abstractNumId w:val="15"/>
  </w:num>
  <w:num w:numId="24">
    <w:abstractNumId w:val="10"/>
  </w:num>
  <w:num w:numId="25">
    <w:abstractNumId w:val="7"/>
  </w:num>
  <w:num w:numId="26">
    <w:abstractNumId w:val="18"/>
  </w:num>
  <w:num w:numId="27">
    <w:abstractNumId w:val="24"/>
  </w:num>
  <w:num w:numId="28">
    <w:abstractNumId w:val="13"/>
  </w:num>
  <w:num w:numId="29">
    <w:abstractNumId w:val="19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2D15"/>
    <w:rsid w:val="00052842"/>
    <w:rsid w:val="0005459A"/>
    <w:rsid w:val="00055E0B"/>
    <w:rsid w:val="00064593"/>
    <w:rsid w:val="00065780"/>
    <w:rsid w:val="00077728"/>
    <w:rsid w:val="00085F17"/>
    <w:rsid w:val="00092478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0A1B"/>
    <w:rsid w:val="001D488A"/>
    <w:rsid w:val="001F4310"/>
    <w:rsid w:val="002031EE"/>
    <w:rsid w:val="002038B8"/>
    <w:rsid w:val="00206634"/>
    <w:rsid w:val="00207007"/>
    <w:rsid w:val="00217455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2A02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E75CA"/>
    <w:rsid w:val="007F744A"/>
    <w:rsid w:val="007F77FE"/>
    <w:rsid w:val="00804D9B"/>
    <w:rsid w:val="00804E36"/>
    <w:rsid w:val="0081250F"/>
    <w:rsid w:val="008273BB"/>
    <w:rsid w:val="00827A90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4C2A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5A02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57EA7"/>
    <w:rsid w:val="00C6291B"/>
    <w:rsid w:val="00C65520"/>
    <w:rsid w:val="00C6726F"/>
    <w:rsid w:val="00C76A5B"/>
    <w:rsid w:val="00C912C1"/>
    <w:rsid w:val="00C93DCB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251CD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36B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35AB0"/>
    <w:rsid w:val="00E415B4"/>
    <w:rsid w:val="00E548EC"/>
    <w:rsid w:val="00E61D61"/>
    <w:rsid w:val="00E629FE"/>
    <w:rsid w:val="00E66CB3"/>
    <w:rsid w:val="00E76795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ED270-3ED1-452A-BAB3-0581AAA93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433A7-3EC5-4925-B762-13CE960DE99D}"/>
</file>

<file path=customXml/itemProps3.xml><?xml version="1.0" encoding="utf-8"?>
<ds:datastoreItem xmlns:ds="http://schemas.openxmlformats.org/officeDocument/2006/customXml" ds:itemID="{C8C223D7-1111-4254-BBD9-732E88894EBE}"/>
</file>

<file path=customXml/itemProps4.xml><?xml version="1.0" encoding="utf-8"?>
<ds:datastoreItem xmlns:ds="http://schemas.openxmlformats.org/officeDocument/2006/customXml" ds:itemID="{6B3454D7-6716-44C9-9629-7495205CA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Balázs Cakó</cp:lastModifiedBy>
  <cp:revision>3</cp:revision>
  <dcterms:created xsi:type="dcterms:W3CDTF">2023-01-30T09:50:00Z</dcterms:created>
  <dcterms:modified xsi:type="dcterms:W3CDTF">2023-01-30T09:53:00Z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