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2EAB2FB" w:rsidR="003A23E0" w:rsidRPr="00AC25A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C25AF">
        <w:t>202</w:t>
      </w:r>
      <w:r w:rsidR="005A6B14">
        <w:t>3</w:t>
      </w:r>
      <w:r w:rsidR="00647A74" w:rsidRPr="00F30AFD">
        <w:t>/</w:t>
      </w:r>
      <w:r w:rsidR="00AC25AF">
        <w:t>202</w:t>
      </w:r>
      <w:r w:rsidR="005A6B14">
        <w:t>4</w:t>
      </w:r>
      <w:r w:rsidRPr="00F30AFD">
        <w:t xml:space="preserve"> </w:t>
      </w:r>
      <w:r w:rsidR="00BB638C">
        <w:t>I</w:t>
      </w:r>
      <w:r w:rsidR="00AC25AF">
        <w:t>.</w:t>
      </w:r>
      <w:r w:rsidRPr="00AC25A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A6EDAE0" w:rsidR="00AD4BC7" w:rsidRPr="00637494" w:rsidRDefault="00AC25A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AC25AF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Épületfizika-energetika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09295B" w:rsidR="00AD4BC7" w:rsidRPr="00707E95" w:rsidRDefault="00FD1EF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FD1EFB">
              <w:rPr>
                <w:rFonts w:asciiTheme="majorHAnsi" w:hAnsiTheme="majorHAnsi"/>
                <w:b/>
                <w:color w:val="auto"/>
              </w:rPr>
              <w:t>MSB087MLGM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164427C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1/0/2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B274B86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AC4DD16" w:rsidR="00AD4BC7" w:rsidRPr="00707E95" w:rsidRDefault="00707E95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6B04A65" w:rsidR="00AD4BC7" w:rsidRPr="00707E95" w:rsidRDefault="009E5238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AD12544" w:rsidR="00AD4BC7" w:rsidRPr="00707E95" w:rsidRDefault="003C696B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25DE43A" w:rsidR="00AD4BC7" w:rsidRPr="00707E95" w:rsidRDefault="00A2201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2023/2024/1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707E95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69756F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FE79402" w:rsidR="00AD4BC7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  <w:r w:rsidR="00E33F98">
              <w:rPr>
                <w:rFonts w:asciiTheme="majorHAnsi" w:hAnsiTheme="majorHAnsi"/>
                <w:b/>
                <w:color w:val="auto"/>
              </w:rPr>
              <w:t xml:space="preserve">, </w:t>
            </w:r>
            <w:r w:rsidR="00E33F98" w:rsidRPr="00E33F98">
              <w:rPr>
                <w:rFonts w:asciiTheme="majorHAnsi" w:hAnsiTheme="majorHAnsi"/>
                <w:b/>
                <w:color w:val="auto"/>
              </w:rPr>
              <w:t>Dr. Fülöp László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326C290" w:rsidR="006643D3" w:rsidRPr="00707E95" w:rsidRDefault="00AC25A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E9F6ABD" w14:textId="2F2A0D1B" w:rsidR="00BB638C" w:rsidRPr="00AC25AF" w:rsidRDefault="00AC25AF" w:rsidP="00AC25AF">
      <w:pPr>
        <w:shd w:val="clear" w:color="auto" w:fill="DFDFDF" w:themeFill="background2" w:themeFillShade="E6"/>
      </w:pPr>
      <w:r w:rsidRPr="00AC25AF">
        <w:t xml:space="preserve">A hőátvitel alapvető formái, hőátbocsátási tényező, réteghatár hőmérsékletek. Többdimenziós hőáramok, hőhidak. Vonalmenti hőátbocsátási tényező és eredő hőátbocsátási tényező. Talajjal érintkező felületek hőárama. Üvegezett szerkezetek </w:t>
      </w:r>
      <w:proofErr w:type="spellStart"/>
      <w:r w:rsidRPr="00AC25AF">
        <w:t>sugárzásos</w:t>
      </w:r>
      <w:proofErr w:type="spellEnd"/>
      <w:r w:rsidRPr="00AC25AF">
        <w:t xml:space="preserve"> hőmérlege. A nedves levegő tulajdonságai. Porózus anyagok nedvességfelvétele, a szorpciós izoterma. Állagvédelmi ellenőrzés: felületi páralecsapódás, kapilláris kondenzáció, penészképződés. A helyiség nedvességmérlege. Páradiffúzió stacioner és </w:t>
      </w:r>
      <w:proofErr w:type="spellStart"/>
      <w:r w:rsidRPr="00AC25AF">
        <w:t>instacioner</w:t>
      </w:r>
      <w:proofErr w:type="spellEnd"/>
      <w:r w:rsidRPr="00AC25AF">
        <w:t xml:space="preserve"> esetben. A szerkezetek nedvességtartalma, feltöltési idő. A napsugárzás geometriája, nappálya diagram, árnyékolások. Időben nem állandósult folyamatok: hőtároló tömeg, csillapítás, késleltetés. Épületek energetikai követelményei, épületenergetikai szabványok, rendeletek. Az épületenergetikai ellenőrzés menete. A nyári túlmelegedés kockázatának ellenőrzése.</w:t>
      </w:r>
    </w:p>
    <w:p w14:paraId="6CAD1299" w14:textId="75BDD58A" w:rsidR="00023F6C" w:rsidRPr="00F30AFD" w:rsidRDefault="00023F6C" w:rsidP="00207007">
      <w:pPr>
        <w:pStyle w:val="Cmsor1"/>
        <w:shd w:val="clear" w:color="auto" w:fill="C7C7C7" w:themeFill="accent1" w:themeFillShade="E6"/>
      </w:pPr>
      <w:r w:rsidRPr="00F30AFD">
        <w:t>Tárgytematika</w:t>
      </w:r>
    </w:p>
    <w:p w14:paraId="712BD539" w14:textId="133C209A" w:rsidR="005C08F1" w:rsidRPr="00962756" w:rsidRDefault="00E13611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962756">
        <w:rPr>
          <w:b/>
          <w:bCs/>
        </w:rPr>
        <w:t xml:space="preserve">Az </w:t>
      </w:r>
      <w:r w:rsidR="005C08F1" w:rsidRPr="00962756">
        <w:rPr>
          <w:b/>
          <w:bCs/>
        </w:rPr>
        <w:t>oktatás célja</w:t>
      </w:r>
    </w:p>
    <w:p w14:paraId="1D59E103" w14:textId="0E3C029E" w:rsidR="004348FE" w:rsidRPr="00637494" w:rsidRDefault="00AC25AF" w:rsidP="00637494">
      <w:pPr>
        <w:shd w:val="clear" w:color="auto" w:fill="DFDFDF" w:themeFill="background2" w:themeFillShade="E6"/>
        <w:jc w:val="left"/>
      </w:pPr>
      <w:r w:rsidRPr="00AC25AF">
        <w:t>Az épület energetika tervezési alapjainak elsajátítása, különös tekintettel az EU irányelvek szerinti közel nulla energia szint követelményre. A figyelem ráirányítása az épület és az épületgépészeti rendszer összhangjára.</w:t>
      </w:r>
    </w:p>
    <w:p w14:paraId="57AD0700" w14:textId="4DAFB0CA" w:rsidR="009B4F16" w:rsidRPr="00A241DC" w:rsidRDefault="003E046B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7B7394" w14:textId="77777777" w:rsidR="00AC25AF" w:rsidRDefault="00AC25AF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C25AF">
              <w:rPr>
                <w:i/>
                <w:iCs/>
                <w:color w:val="969696" w:themeColor="accent3"/>
              </w:rPr>
              <w:t xml:space="preserve">A hőátvitel alapvető formái, hőátbocsátási tényező, réteghatár hőmérsékletek. </w:t>
            </w:r>
          </w:p>
          <w:p w14:paraId="51DCDE2F" w14:textId="78616791" w:rsidR="00AC25AF" w:rsidRPr="00AC25AF" w:rsidRDefault="00AC25AF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C25AF">
              <w:rPr>
                <w:i/>
                <w:iCs/>
                <w:color w:val="969696" w:themeColor="accent3"/>
              </w:rPr>
              <w:t xml:space="preserve">Többdimenziós hőáramok, hőhidak. Vonalmenti hőátbocsátási tényező és eredő hőátbocsátási tényező. Talajjal érintkező felületek hőárama. </w:t>
            </w:r>
          </w:p>
          <w:p w14:paraId="04D3F6FD" w14:textId="12F74DFA" w:rsidR="00AC25AF" w:rsidRDefault="00AC25AF" w:rsidP="00AC25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C25AF">
              <w:rPr>
                <w:i/>
                <w:iCs/>
                <w:color w:val="969696" w:themeColor="accent3"/>
              </w:rPr>
              <w:t xml:space="preserve">Üvegezett szerkezetek </w:t>
            </w:r>
            <w:proofErr w:type="spellStart"/>
            <w:r w:rsidRPr="00AC25AF">
              <w:rPr>
                <w:i/>
                <w:iCs/>
                <w:color w:val="969696" w:themeColor="accent3"/>
              </w:rPr>
              <w:t>sugárzásos</w:t>
            </w:r>
            <w:proofErr w:type="spellEnd"/>
            <w:r w:rsidRPr="00AC25AF">
              <w:rPr>
                <w:i/>
                <w:iCs/>
                <w:color w:val="969696" w:themeColor="accent3"/>
              </w:rPr>
              <w:t xml:space="preserve"> hőmérlege.</w:t>
            </w:r>
          </w:p>
          <w:p w14:paraId="3D4921F7" w14:textId="3195F7E9" w:rsidR="00720EAD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nedves levegő tulajdonságai. Porózus anyagok nedvességfelvétele, a szorpciós izoterma. Állagvédelmi ellenőrzés: felületi páralecsapódás, kapilláris kondenzáció, penészképződés.</w:t>
            </w:r>
          </w:p>
          <w:p w14:paraId="5AA323BE" w14:textId="77777777" w:rsidR="00272036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 xml:space="preserve">A helyiség nedvességmérlege. Páradiffúzió stacioner és </w:t>
            </w:r>
            <w:proofErr w:type="spellStart"/>
            <w:r w:rsidRPr="00272036">
              <w:rPr>
                <w:i/>
                <w:iCs/>
                <w:color w:val="969696" w:themeColor="accent3"/>
              </w:rPr>
              <w:t>instacioner</w:t>
            </w:r>
            <w:proofErr w:type="spellEnd"/>
            <w:r w:rsidRPr="00272036">
              <w:rPr>
                <w:i/>
                <w:iCs/>
                <w:color w:val="969696" w:themeColor="accent3"/>
              </w:rPr>
              <w:t xml:space="preserve"> esetben.</w:t>
            </w:r>
          </w:p>
          <w:p w14:paraId="61546EEC" w14:textId="0105E808" w:rsidR="00272036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szerkezetek nedvességtartalma, feltöltési idő.</w:t>
            </w:r>
          </w:p>
          <w:p w14:paraId="3A5CF5B4" w14:textId="77777777" w:rsidR="00272036" w:rsidRDefault="00272036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 napsugárzás geometriája, nappálya diagram, árnyékolások.</w:t>
            </w:r>
          </w:p>
          <w:p w14:paraId="49067D36" w14:textId="77777777" w:rsidR="00720EAD" w:rsidRDefault="00272036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Időben nem állandósult folyamatok: hőtároló tömeg, csillapítás, késleltetés.</w:t>
            </w:r>
          </w:p>
          <w:p w14:paraId="62EC2F73" w14:textId="77777777" w:rsidR="00B75796" w:rsidRDefault="00272036" w:rsidP="00B75796">
            <w:pPr>
              <w:pStyle w:val="Listaszerbekezds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 xml:space="preserve">Épületek energetikai követelményei, épületenergetikai szabványok, rendeletek. </w:t>
            </w:r>
          </w:p>
          <w:p w14:paraId="07F5BB9C" w14:textId="30B32055" w:rsidR="00272036" w:rsidRDefault="00272036" w:rsidP="00B75796">
            <w:pPr>
              <w:pStyle w:val="Listaszerbekezds"/>
              <w:numPr>
                <w:ilvl w:val="0"/>
                <w:numId w:val="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Az épületenergetikai ellenőrzés menete. A nyári túlmelegedés kockázatának ellenőrzése.</w:t>
            </w:r>
          </w:p>
          <w:p w14:paraId="7ED37A5E" w14:textId="77777777" w:rsidR="00272036" w:rsidRDefault="00272036" w:rsidP="0027203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energetikához szorosan kapcsolódó h</w:t>
            </w:r>
            <w:r w:rsidRPr="00272036">
              <w:rPr>
                <w:i/>
                <w:iCs/>
                <w:color w:val="969696" w:themeColor="accent3"/>
              </w:rPr>
              <w:t>őkomfort alapismeretek.</w:t>
            </w:r>
          </w:p>
          <w:p w14:paraId="2B452320" w14:textId="5506BED3" w:rsidR="00272036" w:rsidRPr="00272036" w:rsidRDefault="00272036" w:rsidP="0027203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2ED36CE" w14:textId="39A74511" w:rsidR="00720EAD" w:rsidRPr="0057637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</w:t>
            </w:r>
            <w:r w:rsidRPr="00272036">
              <w:rPr>
                <w:i/>
                <w:iCs/>
                <w:color w:val="969696" w:themeColor="accent3"/>
              </w:rPr>
              <w:t xml:space="preserve">hőátbocsátási tényező </w:t>
            </w:r>
            <w:r>
              <w:rPr>
                <w:i/>
                <w:iCs/>
                <w:color w:val="969696" w:themeColor="accent3"/>
              </w:rPr>
              <w:t>számítása, mérése.</w:t>
            </w:r>
          </w:p>
          <w:p w14:paraId="355658BB" w14:textId="2AF26288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Többdimenziós hőáramok, hőhidak</w:t>
            </w:r>
            <w:r>
              <w:rPr>
                <w:i/>
                <w:iCs/>
                <w:color w:val="969696" w:themeColor="accent3"/>
              </w:rPr>
              <w:t xml:space="preserve"> számítással történő meghatározása.</w:t>
            </w:r>
          </w:p>
          <w:p w14:paraId="0A6B4DC1" w14:textId="77777777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Tala</w:t>
            </w:r>
            <w:r>
              <w:rPr>
                <w:i/>
                <w:iCs/>
                <w:color w:val="969696" w:themeColor="accent3"/>
              </w:rPr>
              <w:t>jjal érintkező felületek hőáramának számítással történő meghatározása.</w:t>
            </w:r>
          </w:p>
          <w:p w14:paraId="435F5003" w14:textId="77777777" w:rsidR="00720EAD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272036">
              <w:rPr>
                <w:i/>
                <w:iCs/>
                <w:color w:val="969696" w:themeColor="accent3"/>
              </w:rPr>
              <w:t>Állagvédelmi ellenőrzés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69CA70F3" w14:textId="77777777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Páradiffúziós ellenőrzés.</w:t>
            </w:r>
          </w:p>
          <w:p w14:paraId="1D995814" w14:textId="0AACD811" w:rsid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árnyékmentes órák számának meghatározása szerkesztéssel.</w:t>
            </w:r>
          </w:p>
          <w:p w14:paraId="72E261BB" w14:textId="044D6A65" w:rsidR="00272036" w:rsidRPr="00272036" w:rsidRDefault="00272036" w:rsidP="00272036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Mintapéldák a féléves feladathoz, az épületek energetikai ellenőrzése kapcsán.</w:t>
            </w:r>
          </w:p>
        </w:tc>
      </w:tr>
    </w:tbl>
    <w:p w14:paraId="0406DC9D" w14:textId="77777777" w:rsidR="006353D0" w:rsidRDefault="006353D0" w:rsidP="00CE73E0">
      <w:pPr>
        <w:pStyle w:val="Cmsor3"/>
        <w:rPr>
          <w:b/>
          <w:bCs/>
        </w:rPr>
      </w:pPr>
    </w:p>
    <w:p w14:paraId="72BEDA46" w14:textId="6843970E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75"/>
        <w:gridCol w:w="1701"/>
        <w:gridCol w:w="113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3EC6FC37" w:rsidR="00EC5287" w:rsidRPr="00637494" w:rsidRDefault="00E33F98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18D1D649" w:rsidR="00EC5287" w:rsidRPr="00637494" w:rsidRDefault="00EC5287" w:rsidP="004F7E5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13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0B3D095D" w14:textId="3F9CF9F2" w:rsidR="00EC5287" w:rsidRDefault="00272036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Bevezetés, témához kapcsolódó szabványok, szakirodalom ismertetése.</w:t>
            </w:r>
          </w:p>
          <w:p w14:paraId="71D9A43A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6FEAD" w14:textId="787B5D5D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A hőátvitel alapvető formái, hőátbocsátási tényező, réteghatár hőmérsékletek</w:t>
            </w:r>
          </w:p>
          <w:p w14:paraId="2BC9F30F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9C9E1E" w14:textId="4C8843EF" w:rsidR="00FD1EFB" w:rsidRPr="00637494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Többdimenziós hőáramok, hőhidak.</w:t>
            </w:r>
          </w:p>
        </w:tc>
        <w:tc>
          <w:tcPr>
            <w:tcW w:w="2975" w:type="dxa"/>
          </w:tcPr>
          <w:p w14:paraId="7F03E161" w14:textId="77777777" w:rsidR="00EC5287" w:rsidRDefault="006353D0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="003C696B">
              <w:t xml:space="preserve"> 1-16</w:t>
            </w:r>
            <w:r>
              <w:t>. oldal</w:t>
            </w:r>
          </w:p>
          <w:p w14:paraId="260505F7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0D8806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00B434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17-42. oldal</w:t>
            </w:r>
          </w:p>
          <w:p w14:paraId="455D1E0E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13DBC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6ACA80" w14:textId="2056E238" w:rsidR="00FD1EFB" w:rsidRPr="00637494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43-55. oldal</w:t>
            </w:r>
          </w:p>
        </w:tc>
        <w:tc>
          <w:tcPr>
            <w:tcW w:w="1701" w:type="dxa"/>
          </w:tcPr>
          <w:p w14:paraId="42E77607" w14:textId="3C1030D0" w:rsidR="00EC5287" w:rsidRPr="00637494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44A7C91A" w14:textId="60A13C75" w:rsidR="00EC5287" w:rsidRPr="00637494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6144977D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3DA9137D" w:rsidR="004F7E5D" w:rsidRPr="00637494" w:rsidRDefault="00FD1EFB" w:rsidP="004F7E5D">
            <w:r>
              <w:t>2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239F3720" w14:textId="77777777" w:rsidR="004F7E5D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Vonalmenti hőátbocsátási tényező és eredő hőátbocsátási tényező. Talajjal érintkező felületek hőárama.</w:t>
            </w:r>
          </w:p>
          <w:p w14:paraId="19192422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E9F3A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Időben nem állandósult folyamatok: hőtároló tömeg, csillapítás, késleltetés.</w:t>
            </w:r>
          </w:p>
          <w:p w14:paraId="7394D44C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EA28E9" w14:textId="5B09C9A7" w:rsidR="00FD1EFB" w:rsidRPr="00637494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A nedves levegő tulajdonságai. Porózus anyagok nedvességfelvétele, a szorpciós izoterma. Állagvédelmi ellenőrzés: felületi páralecsapódás, kapilláris kondenzáció, penészképződés.</w:t>
            </w:r>
          </w:p>
        </w:tc>
        <w:tc>
          <w:tcPr>
            <w:tcW w:w="2975" w:type="dxa"/>
          </w:tcPr>
          <w:p w14:paraId="369D881A" w14:textId="77777777" w:rsidR="004F7E5D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4F7E5D">
              <w:t>56-95</w:t>
            </w:r>
            <w:r>
              <w:t>. oldal</w:t>
            </w:r>
          </w:p>
          <w:p w14:paraId="10129610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3E07F3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C3E44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7D0EDC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137-170. oldal</w:t>
            </w:r>
          </w:p>
          <w:p w14:paraId="7A672308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7D31C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307731" w14:textId="1DEAB7E2" w:rsidR="00FD1EFB" w:rsidRPr="00637494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267-319. oldal</w:t>
            </w:r>
          </w:p>
        </w:tc>
        <w:tc>
          <w:tcPr>
            <w:tcW w:w="1701" w:type="dxa"/>
          </w:tcPr>
          <w:p w14:paraId="1C597915" w14:textId="563B372D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zárthelyi.</w:t>
            </w:r>
          </w:p>
        </w:tc>
        <w:tc>
          <w:tcPr>
            <w:tcW w:w="1136" w:type="dxa"/>
          </w:tcPr>
          <w:p w14:paraId="2F86CBC8" w14:textId="4112E14D" w:rsidR="004F7E5D" w:rsidRPr="00637494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353D0" w:rsidRPr="004F7E5D">
              <w:t xml:space="preserve">. </w:t>
            </w:r>
            <w:r w:rsidR="006353D0">
              <w:t>alkalom</w:t>
            </w:r>
          </w:p>
        </w:tc>
      </w:tr>
      <w:tr w:rsidR="004F7E5D" w:rsidRPr="00637494" w14:paraId="7730199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0E801FEB" w:rsidR="004F7E5D" w:rsidRPr="00637494" w:rsidRDefault="00FD1EFB" w:rsidP="004F7E5D">
            <w:r>
              <w:t>3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4D766FD7" w14:textId="77777777" w:rsidR="004F7E5D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 xml:space="preserve">A helyiség nedvességmérlege. Páradiffúzió stacioner és </w:t>
            </w:r>
            <w:proofErr w:type="spellStart"/>
            <w:r w:rsidRPr="00BB638C">
              <w:t>instacioner</w:t>
            </w:r>
            <w:proofErr w:type="spellEnd"/>
            <w:r w:rsidRPr="00BB638C">
              <w:t xml:space="preserve"> esetben.</w:t>
            </w:r>
          </w:p>
          <w:p w14:paraId="3C1ADFB4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9DD1D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A szerkezetek nedvességtartalma, feltöltési idő.</w:t>
            </w:r>
          </w:p>
          <w:p w14:paraId="1B93F869" w14:textId="77777777" w:rsidR="00FD1EFB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B080B" w14:textId="6B7267E5" w:rsidR="00FD1EFB" w:rsidRPr="00637494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38C">
              <w:t>A napsugárzás geometriája, nappálya diagram, árnyékolások.</w:t>
            </w:r>
            <w:r>
              <w:t xml:space="preserve"> Az üvegezések hőmérlege.</w:t>
            </w:r>
          </w:p>
        </w:tc>
        <w:tc>
          <w:tcPr>
            <w:tcW w:w="2975" w:type="dxa"/>
          </w:tcPr>
          <w:p w14:paraId="56C46A54" w14:textId="77777777" w:rsidR="00FD1EFB" w:rsidRDefault="006353D0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="004F7E5D" w:rsidRPr="000E1798">
              <w:t xml:space="preserve"> </w:t>
            </w:r>
            <w:r w:rsidR="004F7E5D">
              <w:t>320-335</w:t>
            </w:r>
            <w:r>
              <w:t>. oldal</w:t>
            </w:r>
          </w:p>
          <w:p w14:paraId="71C7D1D2" w14:textId="77777777" w:rsidR="00FD1EFB" w:rsidRDefault="00FD1EFB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3DCC2" w14:textId="77777777" w:rsidR="00FD1EFB" w:rsidRDefault="00FD1EFB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F6507" w14:textId="19C969FD" w:rsidR="00FD1EFB" w:rsidRDefault="00FD1EFB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320-335. oldal</w:t>
            </w:r>
          </w:p>
          <w:p w14:paraId="1FE5C00A" w14:textId="77777777" w:rsidR="00FD1EFB" w:rsidRDefault="00FD1EFB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 351-357. oldal</w:t>
            </w:r>
          </w:p>
          <w:p w14:paraId="763CBBD7" w14:textId="77777777" w:rsidR="00FD1EFB" w:rsidRDefault="00FD1EFB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052B4" w14:textId="4C04FBCD" w:rsidR="004F7E5D" w:rsidRPr="00637494" w:rsidRDefault="00FD1EFB" w:rsidP="00FD1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[1.]</w:t>
            </w:r>
            <w:r w:rsidRPr="000E1798">
              <w:t xml:space="preserve"> </w:t>
            </w:r>
            <w:r>
              <w:t>171-245. oldal</w:t>
            </w:r>
          </w:p>
        </w:tc>
        <w:tc>
          <w:tcPr>
            <w:tcW w:w="1701" w:type="dxa"/>
          </w:tcPr>
          <w:p w14:paraId="5F81B2E2" w14:textId="72805775" w:rsidR="004F7E5D" w:rsidRPr="00637494" w:rsidRDefault="004F7E5D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Páradiffúzió </w:t>
            </w:r>
            <w:r w:rsidRPr="00BB638C">
              <w:t>zárthelyi</w:t>
            </w:r>
            <w:r>
              <w:t>.</w:t>
            </w:r>
          </w:p>
        </w:tc>
        <w:tc>
          <w:tcPr>
            <w:tcW w:w="1136" w:type="dxa"/>
          </w:tcPr>
          <w:p w14:paraId="0DB86CBC" w14:textId="2302679C" w:rsidR="004F7E5D" w:rsidRPr="000E1798" w:rsidRDefault="00FD1EFB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4F7E5D">
              <w:t xml:space="preserve">. </w:t>
            </w:r>
            <w:r>
              <w:t>alkalom</w:t>
            </w:r>
          </w:p>
        </w:tc>
      </w:tr>
      <w:tr w:rsidR="004F7E5D" w:rsidRPr="00637494" w14:paraId="0F2E2D97" w14:textId="77777777" w:rsidTr="004F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337C079E" w:rsidR="004F7E5D" w:rsidRPr="00637494" w:rsidRDefault="00FD1EFB" w:rsidP="004F7E5D">
            <w:r>
              <w:t>4</w:t>
            </w:r>
            <w:r w:rsidR="004F7E5D" w:rsidRPr="00637494">
              <w:t>.</w:t>
            </w:r>
          </w:p>
        </w:tc>
        <w:tc>
          <w:tcPr>
            <w:tcW w:w="3827" w:type="dxa"/>
          </w:tcPr>
          <w:p w14:paraId="5EDC32BE" w14:textId="77777777" w:rsidR="004F7E5D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épületek energiamérlege. A 7/2006 TNM</w:t>
            </w:r>
            <w:r w:rsidR="00E33F98">
              <w:t xml:space="preserve"> rendelet és jogutódjának</w:t>
            </w:r>
            <w:r>
              <w:t xml:space="preserve"> ismertetése.</w:t>
            </w:r>
          </w:p>
          <w:p w14:paraId="761E50F6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8D703F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Épületek energetikai követelményei</w:t>
            </w:r>
            <w:r>
              <w:t>, épületek energetikai tanúsítása.</w:t>
            </w:r>
          </w:p>
          <w:p w14:paraId="33C4BF40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F85C7E" w14:textId="23239BE5" w:rsidR="00FD1EFB" w:rsidRPr="00637494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38C">
              <w:t>Az épületenergetikai ellenőrzés menete.</w:t>
            </w:r>
            <w:r>
              <w:t xml:space="preserve"> </w:t>
            </w:r>
            <w:r w:rsidRPr="00E33F98">
              <w:t>A nyári túlmelegedés kockázatának ellenőrzése.</w:t>
            </w:r>
          </w:p>
        </w:tc>
        <w:tc>
          <w:tcPr>
            <w:tcW w:w="2975" w:type="dxa"/>
          </w:tcPr>
          <w:p w14:paraId="567D1F34" w14:textId="77777777" w:rsidR="004F7E5D" w:rsidRDefault="006353D0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</w:t>
            </w:r>
            <w:r w:rsidR="004F7E5D">
              <w:t xml:space="preserve"> 246-266</w:t>
            </w:r>
            <w:r>
              <w:t>. oldal</w:t>
            </w:r>
          </w:p>
          <w:p w14:paraId="6BCD3AD8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E9A67F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D810F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389-394. oldal</w:t>
            </w:r>
          </w:p>
          <w:p w14:paraId="67987D55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2ACB73" w14:textId="77777777" w:rsidR="00FD1EFB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D28F5" w14:textId="77777777" w:rsidR="00FD1EFB" w:rsidRDefault="00FD1EFB" w:rsidP="00FD1E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Segédlet Energetikai ellenőrzéshez </w:t>
            </w:r>
          </w:p>
          <w:p w14:paraId="28390104" w14:textId="77777777" w:rsidR="00FD1EFB" w:rsidRDefault="00FD1EFB" w:rsidP="00FD1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(Dr. Fülöp L., Dr. Cakó B.) 1-57. oldal</w:t>
            </w:r>
          </w:p>
          <w:p w14:paraId="550148E1" w14:textId="2DE8D145" w:rsidR="00FD1EFB" w:rsidRPr="00637494" w:rsidRDefault="00FD1EFB" w:rsidP="00FD1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 167, 384, 392. oldal</w:t>
            </w:r>
          </w:p>
        </w:tc>
        <w:tc>
          <w:tcPr>
            <w:tcW w:w="1701" w:type="dxa"/>
          </w:tcPr>
          <w:p w14:paraId="2D55CA5D" w14:textId="272BF715" w:rsidR="004F7E5D" w:rsidRPr="00637494" w:rsidRDefault="004F7E5D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zárthelyi, féléves feladat.</w:t>
            </w:r>
          </w:p>
        </w:tc>
        <w:tc>
          <w:tcPr>
            <w:tcW w:w="1136" w:type="dxa"/>
          </w:tcPr>
          <w:p w14:paraId="4F411778" w14:textId="3C77F4E2" w:rsidR="004F7E5D" w:rsidRPr="00637494" w:rsidRDefault="00FD1EFB" w:rsidP="004F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353D0" w:rsidRPr="004F7E5D">
              <w:t xml:space="preserve">. </w:t>
            </w:r>
            <w:r w:rsidR="006353D0">
              <w:t>alkalom</w:t>
            </w:r>
          </w:p>
        </w:tc>
      </w:tr>
      <w:tr w:rsidR="00E33F98" w:rsidRPr="00637494" w14:paraId="566DC8E9" w14:textId="77777777" w:rsidTr="004F7E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7E3566" w14:textId="16B2C536" w:rsidR="00E33F98" w:rsidRDefault="00FD1EFB" w:rsidP="004F7E5D">
            <w:r>
              <w:t>5</w:t>
            </w:r>
            <w:r w:rsidR="00E33F98">
              <w:t>.</w:t>
            </w:r>
          </w:p>
        </w:tc>
        <w:tc>
          <w:tcPr>
            <w:tcW w:w="3827" w:type="dxa"/>
          </w:tcPr>
          <w:p w14:paraId="53D33DC1" w14:textId="3AEF9611" w:rsidR="00E33F98" w:rsidRPr="00BB638C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zárthelyi dolgozat</w:t>
            </w:r>
          </w:p>
        </w:tc>
        <w:tc>
          <w:tcPr>
            <w:tcW w:w="2975" w:type="dxa"/>
          </w:tcPr>
          <w:p w14:paraId="69F4FBB0" w14:textId="77777777" w:rsidR="00E33F98" w:rsidRDefault="00E33F98" w:rsidP="005F4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688253" w14:textId="77777777" w:rsidR="00E33F98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</w:tcPr>
          <w:p w14:paraId="225C9FDE" w14:textId="77777777" w:rsidR="00E33F98" w:rsidRPr="004F7E5D" w:rsidRDefault="00E33F98" w:rsidP="004F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29462E0B" w:rsidR="004F7E5D" w:rsidRDefault="004F7E5D" w:rsidP="005C08F1">
      <w:pPr>
        <w:rPr>
          <w:b/>
          <w:bCs/>
        </w:rPr>
      </w:pPr>
    </w:p>
    <w:p w14:paraId="0461322B" w14:textId="77777777" w:rsidR="004F7E5D" w:rsidRDefault="004F7E5D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977"/>
        <w:gridCol w:w="1701"/>
        <w:gridCol w:w="1134"/>
      </w:tblGrid>
      <w:tr w:rsidR="00637494" w:rsidRPr="00637494" w14:paraId="60FA81AE" w14:textId="77777777" w:rsidTr="00FD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FD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1F795DFC" w:rsidR="00FD07FE" w:rsidRPr="00637494" w:rsidRDefault="00E33F98" w:rsidP="00E15443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Alkalom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977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701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134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FD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9FCEC08" w:rsidR="00FD07FE" w:rsidRPr="00637494" w:rsidRDefault="003C696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96B">
              <w:t>A hőátvitel alapvető formái, hőátbocsátási tényező, réteghatár hőmérsékletek</w:t>
            </w:r>
            <w:r w:rsidR="00C76C9B">
              <w:t>.</w:t>
            </w:r>
          </w:p>
        </w:tc>
        <w:tc>
          <w:tcPr>
            <w:tcW w:w="2977" w:type="dxa"/>
          </w:tcPr>
          <w:p w14:paraId="0CC83043" w14:textId="6F99C017" w:rsidR="000E1798" w:rsidRDefault="006353D0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0E1798">
              <w:t>17-42</w:t>
            </w:r>
            <w:r>
              <w:t>. oldal</w:t>
            </w:r>
          </w:p>
          <w:p w14:paraId="3307DD7C" w14:textId="6D9F8985" w:rsidR="00FD07FE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Példafeladat: </w:t>
            </w:r>
            <w:r w:rsidR="004F7E5D">
              <w:br/>
            </w:r>
            <w:r w:rsidR="006353D0">
              <w:t>[1.]</w:t>
            </w:r>
            <w:r>
              <w:t xml:space="preserve"> 40-42</w:t>
            </w:r>
            <w:r w:rsidR="006353D0">
              <w:t>. oldal</w:t>
            </w:r>
          </w:p>
        </w:tc>
        <w:tc>
          <w:tcPr>
            <w:tcW w:w="1701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FD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2537BAD8" w14:textId="77777777" w:rsidR="00E33F98" w:rsidRDefault="000E17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Többdimenziós hőáramok, hőhidak számítással történő meghatározása.</w:t>
            </w:r>
            <w:r w:rsidR="00E33F98" w:rsidRPr="000E1798">
              <w:t xml:space="preserve"> </w:t>
            </w:r>
          </w:p>
          <w:p w14:paraId="709B4DC7" w14:textId="77777777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35854" w14:textId="77777777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441DC3" w14:textId="2E8AC990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798">
              <w:t>Talajjal érintkező felületek hőáramának számítással történő meghatározása</w:t>
            </w:r>
            <w:r>
              <w:t xml:space="preserve">. </w:t>
            </w:r>
          </w:p>
          <w:p w14:paraId="625A81B4" w14:textId="77777777" w:rsidR="00E33F98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E185F6" w14:textId="2436B8C1" w:rsidR="00FD07FE" w:rsidRPr="00637494" w:rsidRDefault="00E33F9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0E1798">
              <w:t>őtároló tömeg</w:t>
            </w:r>
            <w:r>
              <w:t xml:space="preserve"> számítása.</w:t>
            </w:r>
          </w:p>
        </w:tc>
        <w:tc>
          <w:tcPr>
            <w:tcW w:w="2977" w:type="dxa"/>
          </w:tcPr>
          <w:p w14:paraId="3991D32D" w14:textId="39E20E18" w:rsidR="00FD07FE" w:rsidRDefault="006353D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[1.]</w:t>
            </w:r>
            <w:r w:rsidR="000E1798">
              <w:t xml:space="preserve"> 96-113</w:t>
            </w:r>
            <w:r>
              <w:t>. oldal</w:t>
            </w:r>
          </w:p>
          <w:p w14:paraId="2CF1C4AC" w14:textId="10930AE5" w:rsidR="00E33F98" w:rsidRDefault="000E1798" w:rsidP="00E33F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Példafeladat: </w:t>
            </w:r>
            <w:r w:rsidR="004F7E5D">
              <w:br/>
            </w:r>
            <w:r w:rsidR="006353D0">
              <w:t xml:space="preserve">[1.] </w:t>
            </w:r>
            <w:r>
              <w:t>96-113</w:t>
            </w:r>
            <w:r w:rsidR="006353D0">
              <w:t>. oldal</w:t>
            </w:r>
          </w:p>
          <w:p w14:paraId="5846C89B" w14:textId="77777777" w:rsidR="00E33F98" w:rsidRDefault="00E33F98" w:rsidP="00E3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23596" w14:textId="7EC1731E" w:rsidR="00E33F98" w:rsidRDefault="006353D0" w:rsidP="00E3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[1.] </w:t>
            </w:r>
            <w:r w:rsidR="00E33F98">
              <w:t>56-95</w:t>
            </w:r>
            <w:r>
              <w:t>. oldal</w:t>
            </w:r>
          </w:p>
          <w:p w14:paraId="377F44CA" w14:textId="77777777" w:rsidR="00E33F98" w:rsidRDefault="00E33F98" w:rsidP="00E33F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DD328A" w14:textId="7F5B3062" w:rsidR="000E1798" w:rsidRPr="00637494" w:rsidRDefault="00E33F98" w:rsidP="00E33F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Példafeladat: </w:t>
            </w:r>
            <w:r>
              <w:br/>
            </w:r>
            <w:r w:rsidR="006353D0">
              <w:t xml:space="preserve">[1.] </w:t>
            </w:r>
            <w:r>
              <w:t>152-165</w:t>
            </w:r>
            <w:r w:rsidR="006353D0">
              <w:t>. oldal</w:t>
            </w:r>
          </w:p>
        </w:tc>
        <w:tc>
          <w:tcPr>
            <w:tcW w:w="1701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98" w:rsidRPr="00637494" w14:paraId="29058E0D" w14:textId="77777777" w:rsidTr="00FD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4B8EACA3" w:rsidR="000E1798" w:rsidRPr="00637494" w:rsidRDefault="00E33F98" w:rsidP="000E1798">
            <w:r>
              <w:t>3</w:t>
            </w:r>
            <w:r w:rsidR="000E1798" w:rsidRPr="00637494">
              <w:t>.</w:t>
            </w:r>
          </w:p>
        </w:tc>
        <w:tc>
          <w:tcPr>
            <w:tcW w:w="3832" w:type="dxa"/>
          </w:tcPr>
          <w:p w14:paraId="6661A126" w14:textId="6F26CB4D" w:rsidR="000E1798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Páradiffóziós</w:t>
            </w:r>
            <w:proofErr w:type="spellEnd"/>
            <w:r>
              <w:t xml:space="preserve"> számítás</w:t>
            </w:r>
            <w:r w:rsidR="00C76C9B">
              <w:t>.</w:t>
            </w:r>
          </w:p>
        </w:tc>
        <w:tc>
          <w:tcPr>
            <w:tcW w:w="2977" w:type="dxa"/>
          </w:tcPr>
          <w:p w14:paraId="3CF9D4DD" w14:textId="6FB6BD67" w:rsidR="000E1798" w:rsidRDefault="006353D0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[1.] </w:t>
            </w:r>
            <w:r w:rsidR="000E1798">
              <w:t>320-335</w:t>
            </w:r>
            <w:r>
              <w:t>. oldal</w:t>
            </w:r>
          </w:p>
          <w:p w14:paraId="4A70142F" w14:textId="1E66B78A" w:rsidR="000E1798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Példafeladat: </w:t>
            </w:r>
            <w:r w:rsidR="004F7E5D">
              <w:br/>
            </w:r>
            <w:r w:rsidR="006353D0">
              <w:t xml:space="preserve">[1.] </w:t>
            </w:r>
            <w:r>
              <w:t>336-345</w:t>
            </w:r>
            <w:r w:rsidR="006353D0">
              <w:t>. oldal</w:t>
            </w:r>
          </w:p>
        </w:tc>
        <w:tc>
          <w:tcPr>
            <w:tcW w:w="1701" w:type="dxa"/>
          </w:tcPr>
          <w:p w14:paraId="48C31FB2" w14:textId="335D3D38" w:rsidR="000E1798" w:rsidRPr="00637494" w:rsidRDefault="000E1798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Páradiffúzió </w:t>
            </w:r>
            <w:r w:rsidRPr="00BB638C">
              <w:t>zárthelyi</w:t>
            </w:r>
            <w:r w:rsidR="00C76C9B">
              <w:t>.</w:t>
            </w:r>
          </w:p>
        </w:tc>
        <w:tc>
          <w:tcPr>
            <w:tcW w:w="1134" w:type="dxa"/>
          </w:tcPr>
          <w:p w14:paraId="00A3DA97" w14:textId="78EA5617" w:rsidR="000E1798" w:rsidRPr="00637494" w:rsidRDefault="00FD1EFB" w:rsidP="000E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E1798">
              <w:t xml:space="preserve">. </w:t>
            </w:r>
            <w:r w:rsidR="006353D0">
              <w:t>alkalom</w:t>
            </w:r>
          </w:p>
        </w:tc>
      </w:tr>
      <w:tr w:rsidR="005F4416" w:rsidRPr="00637494" w14:paraId="24BFC093" w14:textId="77777777" w:rsidTr="00FD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32CC0F6E" w:rsidR="005F4416" w:rsidRPr="00637494" w:rsidRDefault="00FD1EFB" w:rsidP="005F4416">
            <w:r>
              <w:t>4</w:t>
            </w:r>
            <w:r w:rsidR="005F4416" w:rsidRPr="00637494">
              <w:t>.</w:t>
            </w:r>
          </w:p>
        </w:tc>
        <w:tc>
          <w:tcPr>
            <w:tcW w:w="3832" w:type="dxa"/>
          </w:tcPr>
          <w:p w14:paraId="6E0CE2B1" w14:textId="6E1F9DEB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E5D">
              <w:t>Az épületenergetikai ellenőrzés menete.</w:t>
            </w:r>
          </w:p>
        </w:tc>
        <w:tc>
          <w:tcPr>
            <w:tcW w:w="2977" w:type="dxa"/>
          </w:tcPr>
          <w:p w14:paraId="7F618573" w14:textId="11C1C5E2" w:rsidR="005F4416" w:rsidRPr="00637494" w:rsidRDefault="005F4416" w:rsidP="005F4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Segédlet Energetikai ellenőrzéshez</w:t>
            </w:r>
            <w:r>
              <w:br/>
            </w:r>
            <w:r w:rsidRPr="004F7E5D">
              <w:t>(Dr. Fülöp L., Dr. Cakó B.) 1-57</w:t>
            </w:r>
            <w:r w:rsidR="006353D0">
              <w:t>. oldal</w:t>
            </w:r>
          </w:p>
        </w:tc>
        <w:tc>
          <w:tcPr>
            <w:tcW w:w="1701" w:type="dxa"/>
          </w:tcPr>
          <w:p w14:paraId="5B49955F" w14:textId="11AF5175" w:rsidR="005F4416" w:rsidRPr="00637494" w:rsidRDefault="005F4416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Féléves feladat.</w:t>
            </w:r>
          </w:p>
        </w:tc>
        <w:tc>
          <w:tcPr>
            <w:tcW w:w="1134" w:type="dxa"/>
          </w:tcPr>
          <w:p w14:paraId="30F43C72" w14:textId="7AC2C3DE" w:rsidR="005F4416" w:rsidRPr="00637494" w:rsidRDefault="00FD1EFB" w:rsidP="005F4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F4416">
              <w:t xml:space="preserve">. </w:t>
            </w:r>
            <w:r w:rsidR="006353D0">
              <w:t>alkalom</w:t>
            </w:r>
          </w:p>
        </w:tc>
      </w:tr>
      <w:tr w:rsidR="005F4416" w:rsidRPr="00637494" w14:paraId="63899CCA" w14:textId="77777777" w:rsidTr="00FD1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0A182E02" w:rsidR="005F4416" w:rsidRPr="00637494" w:rsidRDefault="00FD1EFB" w:rsidP="005F4416">
            <w:r>
              <w:t>5</w:t>
            </w:r>
            <w:r w:rsidR="005F4416" w:rsidRPr="00637494">
              <w:t>.</w:t>
            </w:r>
          </w:p>
        </w:tc>
        <w:tc>
          <w:tcPr>
            <w:tcW w:w="3832" w:type="dxa"/>
          </w:tcPr>
          <w:p w14:paraId="0BAA8FFF" w14:textId="2962D8D8" w:rsidR="006353D0" w:rsidRDefault="006353D0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C9B">
              <w:t>Pá</w:t>
            </w:r>
            <w:r>
              <w:t>radiffúzió zárthelyi dolgozat.</w:t>
            </w:r>
          </w:p>
          <w:p w14:paraId="4834948B" w14:textId="08C5EA76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feladatok beadása.</w:t>
            </w:r>
          </w:p>
        </w:tc>
        <w:tc>
          <w:tcPr>
            <w:tcW w:w="2977" w:type="dxa"/>
          </w:tcPr>
          <w:p w14:paraId="24338033" w14:textId="77777777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C9E6FD" w14:textId="77777777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AF562B" w14:textId="77777777" w:rsidR="005F4416" w:rsidRPr="00637494" w:rsidRDefault="005F4416" w:rsidP="005F4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4F7E5D" w:rsidRDefault="00576376" w:rsidP="00576376"/>
    <w:p w14:paraId="23C91BA5" w14:textId="3A7E4A2E" w:rsidR="009B4F16" w:rsidRPr="0063460E" w:rsidRDefault="009B4F16" w:rsidP="00962756">
      <w:pPr>
        <w:pStyle w:val="Cmsor2"/>
        <w:numPr>
          <w:ilvl w:val="0"/>
          <w:numId w:val="25"/>
        </w:numPr>
        <w:ind w:left="426"/>
        <w:rPr>
          <w:b/>
          <w:bCs/>
          <w:lang w:val="en-US"/>
        </w:rPr>
      </w:pPr>
      <w:proofErr w:type="spellStart"/>
      <w:r w:rsidRPr="004F7E5D">
        <w:rPr>
          <w:b/>
          <w:bCs/>
        </w:rPr>
        <w:t>Számonkér</w:t>
      </w:r>
      <w:r w:rsidRPr="0063460E">
        <w:rPr>
          <w:b/>
          <w:bCs/>
          <w:lang w:val="en-US"/>
        </w:rPr>
        <w:t>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323BDD58" w14:textId="77777777" w:rsidR="00962756" w:rsidRDefault="00962756" w:rsidP="00A17310"/>
    <w:p w14:paraId="3C297963" w14:textId="6B3A2F77" w:rsidR="00A17310" w:rsidRPr="00A17310" w:rsidRDefault="00A17310" w:rsidP="00A17310">
      <w:r w:rsidRPr="00A17310">
        <w:t>A félév sikeres befejezésének feltétele az aktív órai jelenlét, a feladatok határidőre való elkészítése, bemutatása, az alaki és formai követelmények betartása.</w:t>
      </w:r>
    </w:p>
    <w:p w14:paraId="1E228D94" w14:textId="77777777" w:rsidR="00A17310" w:rsidRPr="00A17310" w:rsidRDefault="00A17310" w:rsidP="00A17310"/>
    <w:p w14:paraId="4046CFC7" w14:textId="094A719B" w:rsidR="00E15443" w:rsidRDefault="00903CAA" w:rsidP="00962756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7F4EAC1" w14:textId="77777777" w:rsidR="00962756" w:rsidRPr="00962756" w:rsidRDefault="00962756" w:rsidP="00962756">
      <w:pPr>
        <w:rPr>
          <w:lang w:val="en-US"/>
        </w:rPr>
      </w:pPr>
    </w:p>
    <w:p w14:paraId="6B183626" w14:textId="4438B344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209A7FC1" w:rsidR="00891215" w:rsidRPr="00A17310" w:rsidRDefault="00A17310" w:rsidP="00A17310">
      <w:pPr>
        <w:shd w:val="clear" w:color="auto" w:fill="DFDFDF" w:themeFill="background2" w:themeFillShade="E6"/>
      </w:pPr>
      <w:r w:rsidRPr="00A17310">
        <w:t>A jelenlét ellenőrzésének módja</w:t>
      </w:r>
      <w:r>
        <w:t xml:space="preserve"> jelenléti ív.</w:t>
      </w:r>
      <w:r w:rsidR="00962756">
        <w:t xml:space="preserve"> Az </w:t>
      </w:r>
      <w:r w:rsidR="00962756" w:rsidRPr="00962756">
        <w:t>érdemjegy</w:t>
      </w:r>
      <w:r w:rsidR="00962756">
        <w:t xml:space="preserve"> meg</w:t>
      </w:r>
      <w:r w:rsidR="00962756" w:rsidRPr="00962756">
        <w:t>tagadható hiány</w:t>
      </w:r>
      <w:r w:rsidR="00962756">
        <w:t xml:space="preserve">zás miatt, ha nappali tagozaton, </w:t>
      </w:r>
      <w:r w:rsidR="00962756" w:rsidRPr="00962756">
        <w:t>a tantárgyi tematikában előirányzott foglalkozások több mint 30%-</w:t>
      </w:r>
      <w:proofErr w:type="spellStart"/>
      <w:r w:rsidR="00962756" w:rsidRPr="00962756">
        <w:t>áról</w:t>
      </w:r>
      <w:proofErr w:type="spellEnd"/>
      <w:r w:rsidR="00962756" w:rsidRPr="00962756">
        <w:t xml:space="preserve"> hiányzott.</w:t>
      </w:r>
    </w:p>
    <w:p w14:paraId="09A453A3" w14:textId="77777777" w:rsidR="00E15443" w:rsidRPr="00F30AFD" w:rsidRDefault="00E15443" w:rsidP="00E15443"/>
    <w:p w14:paraId="3EC9BEC5" w14:textId="42030A06" w:rsidR="00593342" w:rsidRPr="00F30AFD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Számonkérések</w:t>
      </w:r>
      <w:r w:rsidR="005E2090" w:rsidRPr="00F30AFD">
        <w:rPr>
          <w:b/>
          <w:bCs/>
          <w:color w:val="auto"/>
          <w:u w:val="single"/>
        </w:rPr>
        <w:t xml:space="preserve"> </w:t>
      </w:r>
    </w:p>
    <w:p w14:paraId="0A318319" w14:textId="77777777" w:rsidR="00A17310" w:rsidRDefault="00A17310" w:rsidP="00A17310">
      <w:r w:rsidRPr="00A17310">
        <w:t>A fél</w:t>
      </w:r>
      <w:r>
        <w:t>év értékelése a félévközi munka és</w:t>
      </w:r>
      <w:r w:rsidRPr="00A17310">
        <w:t xml:space="preserve"> két</w:t>
      </w:r>
      <w:r>
        <w:t xml:space="preserve"> zárthelyi dolgozat </w:t>
      </w:r>
      <w:r w:rsidRPr="00A17310">
        <w:t xml:space="preserve">alapján történik. </w:t>
      </w:r>
    </w:p>
    <w:p w14:paraId="14AEC1F0" w14:textId="77777777" w:rsidR="00A17310" w:rsidRDefault="00A17310" w:rsidP="00A17310">
      <w:r w:rsidRPr="00A17310">
        <w:t xml:space="preserve">Egy páradiffúzió számítás zárthelyi dolgozat és egy elméleti ismeretanyaggal kapcsolatos </w:t>
      </w:r>
      <w:r>
        <w:t>dolgozat</w:t>
      </w:r>
      <w:r w:rsidRPr="00A17310">
        <w:t xml:space="preserve"> alapján. </w:t>
      </w:r>
    </w:p>
    <w:p w14:paraId="41E62FC6" w14:textId="3FF7E36C" w:rsidR="00A17310" w:rsidRPr="00A17310" w:rsidRDefault="00A17310" w:rsidP="00A17310">
      <w:r>
        <w:t xml:space="preserve">Otthoni feladat egy </w:t>
      </w:r>
      <w:r w:rsidRPr="00A17310">
        <w:t>teljes épület energetikai ellenőrzése.</w:t>
      </w:r>
      <w:r>
        <w:t xml:space="preserve"> A feladatkiosztás a</w:t>
      </w:r>
      <w:r w:rsidR="006353D0">
        <w:t xml:space="preserve"> második </w:t>
      </w:r>
      <w:r>
        <w:t xml:space="preserve">alkalommal várható. A féléves feladatot a Segédlet Energetikai ellenőrzéshez (Dr. Fülöp L., Dr. Cakó B.) című jegyzet alapján kell elkészíteni. A feléves feladat kiosztását </w:t>
      </w:r>
      <w:proofErr w:type="gramStart"/>
      <w:r>
        <w:t>a</w:t>
      </w:r>
      <w:proofErr w:type="gramEnd"/>
      <w:r>
        <w:t xml:space="preserve"> </w:t>
      </w:r>
      <w:r w:rsidRPr="00A17310">
        <w:t>Épületenergetika feladatok kiosztása</w:t>
      </w:r>
      <w:r>
        <w:t xml:space="preserve"> című dokumentum alapján történik. A részletes feladatkiírást az Épületenergetika </w:t>
      </w:r>
      <w:r w:rsidRPr="00A17310">
        <w:t>feladatkiírás</w:t>
      </w:r>
      <w:r>
        <w:t xml:space="preserve"> dokumentum tartalmazza. Az említett dokumentumok az </w:t>
      </w:r>
      <w:proofErr w:type="spellStart"/>
      <w:r>
        <w:t>eGTSZ</w:t>
      </w:r>
      <w:proofErr w:type="spellEnd"/>
      <w:r>
        <w:t xml:space="preserve"> FTP szerverén érhetők el.</w:t>
      </w:r>
    </w:p>
    <w:p w14:paraId="304A5DC2" w14:textId="05C0521D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962756">
        <w:rPr>
          <w:sz w:val="22"/>
          <w:szCs w:val="22"/>
        </w:rPr>
        <w:t>tárgy</w:t>
      </w:r>
    </w:p>
    <w:p w14:paraId="190F84DD" w14:textId="482E1586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AAA5FD5" w:rsidR="001C439B" w:rsidRPr="00E15443" w:rsidRDefault="000944AD" w:rsidP="000944AD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Páradiffúzió 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5C12B648" w:rsidR="001C439B" w:rsidRPr="00E15443" w:rsidRDefault="001C439B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E51EED2" w:rsidR="001C439B" w:rsidRPr="00E15443" w:rsidRDefault="009512B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3C1198E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5B4AD46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5C4F774D" w:rsidR="004428C9" w:rsidRPr="00E15443" w:rsidRDefault="009512B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0944AD">
              <w:rPr>
                <w:i/>
                <w:iCs/>
                <w:color w:val="808080" w:themeColor="accent4"/>
              </w:rPr>
              <w:t>25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D79C18F" w:rsidR="004428C9" w:rsidRPr="00E15443" w:rsidRDefault="000944AD" w:rsidP="00E15443">
            <w:pPr>
              <w:rPr>
                <w:i/>
                <w:iCs/>
                <w:color w:val="808080" w:themeColor="accent4"/>
              </w:rPr>
            </w:pPr>
            <w:r w:rsidRPr="000944AD">
              <w:rPr>
                <w:i/>
                <w:iCs/>
                <w:color w:val="808080" w:themeColor="accent4"/>
              </w:rPr>
              <w:t>Féléves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BB2EA5D" w:rsidR="004428C9" w:rsidRPr="00E15443" w:rsidRDefault="004428C9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495F09D" w:rsidR="004428C9" w:rsidRPr="00E15443" w:rsidRDefault="009512B7" w:rsidP="000944AD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0944AD">
              <w:rPr>
                <w:i/>
                <w:iCs/>
                <w:color w:val="808080" w:themeColor="accent4"/>
              </w:rPr>
              <w:t>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73EBD6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</w:p>
    <w:p w14:paraId="2E50038E" w14:textId="452F2FC9" w:rsidR="00C026C1" w:rsidRPr="003E046B" w:rsidRDefault="0089779F" w:rsidP="003E046B">
      <w:pPr>
        <w:shd w:val="clear" w:color="auto" w:fill="DFDFDF" w:themeFill="background2" w:themeFillShade="E6"/>
      </w:pPr>
      <w:r>
        <w:t xml:space="preserve">A </w:t>
      </w:r>
      <w:r w:rsidRPr="0089779F">
        <w:t xml:space="preserve">PTE </w:t>
      </w:r>
      <w:proofErr w:type="spellStart"/>
      <w:r w:rsidRPr="0089779F">
        <w:t>TVSz</w:t>
      </w:r>
      <w:proofErr w:type="spellEnd"/>
      <w:r w:rsidRPr="0089779F">
        <w:t xml:space="preserve"> 47</w:t>
      </w:r>
      <w:proofErr w:type="gramStart"/>
      <w:r w:rsidRPr="0089779F">
        <w:t>§(</w:t>
      </w:r>
      <w:proofErr w:type="gramEnd"/>
      <w:r w:rsidRPr="0089779F">
        <w:t>4))</w:t>
      </w:r>
      <w:r>
        <w:t xml:space="preserve"> pontjával összhangban a szorgalmi időszakban pótlási és javítási lehetőség biztosított, mind a páradiffúziós, mind pedig az elméleti számonkérés vonatkozásában. A javítás típusa írásbeli számonkérés.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42D962E8" w14:textId="77777777" w:rsidR="00EA31D7" w:rsidRDefault="00EA31D7">
      <w:pPr>
        <w:rPr>
          <w:rStyle w:val="Finomkiemels"/>
          <w:b/>
          <w:bCs/>
        </w:rPr>
      </w:pPr>
      <w:r>
        <w:rPr>
          <w:rStyle w:val="Finomkiemels"/>
          <w:b/>
          <w:bCs/>
        </w:rPr>
        <w:br w:type="page"/>
      </w:r>
    </w:p>
    <w:p w14:paraId="66276911" w14:textId="3332E71F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4F7E5D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4F7E5D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4F7E5D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4F7E5D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4F7E5D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962756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Kötelező irodalom és elérhetősége</w:t>
      </w:r>
    </w:p>
    <w:p w14:paraId="72E5EEFE" w14:textId="2C8725A9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>
        <w:rPr>
          <w:rFonts w:cstheme="minorHAnsi"/>
        </w:rPr>
        <w:t>Előadás</w:t>
      </w:r>
      <w:r w:rsidR="00962756">
        <w:rPr>
          <w:rFonts w:cstheme="minorHAnsi"/>
        </w:rPr>
        <w:t xml:space="preserve"> </w:t>
      </w:r>
      <w:r w:rsidR="0089779F">
        <w:rPr>
          <w:rFonts w:cstheme="minorHAnsi"/>
        </w:rPr>
        <w:t xml:space="preserve">vázlat (Dr. Fülöp László, Dr. Cakó Balázs), </w:t>
      </w:r>
      <w:r w:rsidR="0089779F" w:rsidRPr="0089779F">
        <w:rPr>
          <w:rFonts w:cstheme="minorHAnsi"/>
        </w:rPr>
        <w:t xml:space="preserve">az </w:t>
      </w:r>
      <w:proofErr w:type="spellStart"/>
      <w:r w:rsidR="0089779F" w:rsidRPr="0089779F">
        <w:rPr>
          <w:rFonts w:cstheme="minorHAnsi"/>
        </w:rPr>
        <w:t>eGTSZ</w:t>
      </w:r>
      <w:proofErr w:type="spellEnd"/>
      <w:r w:rsidR="0089779F" w:rsidRPr="0089779F">
        <w:rPr>
          <w:rFonts w:cstheme="minorHAnsi"/>
        </w:rPr>
        <w:t xml:space="preserve"> FTP szerverén érhető</w:t>
      </w:r>
      <w:r w:rsidR="0089779F">
        <w:rPr>
          <w:rFonts w:cstheme="minorHAnsi"/>
        </w:rPr>
        <w:t xml:space="preserve"> el.</w:t>
      </w:r>
    </w:p>
    <w:p w14:paraId="7A0E685A" w14:textId="642C211C" w:rsidR="004348FE" w:rsidRPr="00273A94" w:rsidRDefault="004348FE" w:rsidP="0089779F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89779F">
        <w:t xml:space="preserve">Segédlet </w:t>
      </w:r>
      <w:r w:rsidR="00962756">
        <w:t>e</w:t>
      </w:r>
      <w:r w:rsidR="0089779F">
        <w:t>nergetikai ellenőrzéshez (</w:t>
      </w:r>
      <w:r w:rsidR="0089779F">
        <w:rPr>
          <w:rFonts w:cstheme="minorHAnsi"/>
        </w:rPr>
        <w:t>Dr. Fülöp László, Dr. Cakó Balázs</w:t>
      </w:r>
      <w:r w:rsidR="0089779F">
        <w:t xml:space="preserve">), </w:t>
      </w:r>
      <w:r w:rsidR="0089779F" w:rsidRPr="0089779F">
        <w:rPr>
          <w:rFonts w:cstheme="minorHAnsi"/>
        </w:rPr>
        <w:t xml:space="preserve">az </w:t>
      </w:r>
      <w:proofErr w:type="spellStart"/>
      <w:r w:rsidR="0089779F" w:rsidRPr="0089779F">
        <w:rPr>
          <w:rFonts w:cstheme="minorHAnsi"/>
        </w:rPr>
        <w:t>eGTSZ</w:t>
      </w:r>
      <w:proofErr w:type="spellEnd"/>
      <w:r w:rsidR="0089779F" w:rsidRPr="0089779F">
        <w:rPr>
          <w:rFonts w:cstheme="minorHAnsi"/>
        </w:rPr>
        <w:t xml:space="preserve"> FTP szerverén érhető</w:t>
      </w:r>
      <w:r w:rsidR="0089779F">
        <w:rPr>
          <w:rFonts w:cstheme="minorHAnsi"/>
        </w:rPr>
        <w:t xml:space="preserve"> el.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30AFD" w:rsidRDefault="004348FE" w:rsidP="004C1211">
      <w:pPr>
        <w:pStyle w:val="Cmsor5"/>
        <w:rPr>
          <w:b/>
          <w:bCs/>
          <w:color w:val="auto"/>
          <w:u w:val="single"/>
        </w:rPr>
      </w:pPr>
      <w:r w:rsidRPr="00F30AFD">
        <w:rPr>
          <w:b/>
          <w:bCs/>
          <w:color w:val="auto"/>
          <w:u w:val="single"/>
        </w:rPr>
        <w:t>Ajánlott irodalom és elérhetősége</w:t>
      </w:r>
    </w:p>
    <w:p w14:paraId="00971FC0" w14:textId="77777777" w:rsidR="0089779F" w:rsidRPr="0089779F" w:rsidRDefault="004348FE" w:rsidP="0089779F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 w:rsidRPr="0089779F">
        <w:rPr>
          <w:rFonts w:cstheme="minorHAnsi"/>
        </w:rPr>
        <w:t>Dr. Zöld András (</w:t>
      </w:r>
      <w:proofErr w:type="spellStart"/>
      <w:r w:rsidR="0089779F" w:rsidRPr="0089779F">
        <w:rPr>
          <w:rFonts w:cstheme="minorHAnsi"/>
        </w:rPr>
        <w:t>szerk</w:t>
      </w:r>
      <w:proofErr w:type="spellEnd"/>
      <w:r w:rsidR="0089779F" w:rsidRPr="0089779F">
        <w:rPr>
          <w:rFonts w:cstheme="minorHAnsi"/>
        </w:rPr>
        <w:t>): Épületenergetika (segédlet), Kiadó: BAUSOFT Pécsvárad Kft, 2006, 2009</w:t>
      </w:r>
    </w:p>
    <w:p w14:paraId="0254A659" w14:textId="7B22FB26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 w:rsidRPr="0089779F">
        <w:rPr>
          <w:rFonts w:cstheme="minorHAnsi"/>
        </w:rPr>
        <w:t>Dr. Zöld András: Energiatudatos építészet, Műszaki Könyvkiadó 1999</w:t>
      </w:r>
    </w:p>
    <w:p w14:paraId="047E5364" w14:textId="006DB4BD" w:rsidR="004348FE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9779F" w:rsidRPr="0089779F">
        <w:rPr>
          <w:rFonts w:cstheme="minorHAnsi"/>
        </w:rPr>
        <w:t>Dr. Zöld András: Épületenergetika, BME, 1996</w:t>
      </w:r>
    </w:p>
    <w:p w14:paraId="0BBB6CD6" w14:textId="7C03546B" w:rsidR="0089779F" w:rsidRPr="00B17FC9" w:rsidRDefault="0089779F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 w:rsidRPr="0089779F">
        <w:rPr>
          <w:rFonts w:cstheme="minorHAnsi"/>
        </w:rPr>
        <w:t>Baumann Mihály: Épületenergetika, Kiadó: Magyar Mérnöki Kamara, 2017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78DA" w14:textId="77777777" w:rsidR="00887682" w:rsidRDefault="00887682" w:rsidP="00AD4BC7">
      <w:r>
        <w:separator/>
      </w:r>
    </w:p>
  </w:endnote>
  <w:endnote w:type="continuationSeparator" w:id="0">
    <w:p w14:paraId="1765887E" w14:textId="77777777" w:rsidR="00887682" w:rsidRDefault="0088768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6E9D8A1" w:rsidR="004F7E5D" w:rsidRDefault="004F7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5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4F7E5D" w:rsidRDefault="004F7E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4896" w14:textId="77777777" w:rsidR="00887682" w:rsidRDefault="00887682" w:rsidP="00AD4BC7">
      <w:r>
        <w:separator/>
      </w:r>
    </w:p>
  </w:footnote>
  <w:footnote w:type="continuationSeparator" w:id="0">
    <w:p w14:paraId="3AB552F0" w14:textId="77777777" w:rsidR="00887682" w:rsidRDefault="0088768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57236">
    <w:abstractNumId w:val="23"/>
  </w:num>
  <w:num w:numId="2" w16cid:durableId="1987708810">
    <w:abstractNumId w:val="21"/>
  </w:num>
  <w:num w:numId="3" w16cid:durableId="1199203066">
    <w:abstractNumId w:val="18"/>
  </w:num>
  <w:num w:numId="4" w16cid:durableId="666790874">
    <w:abstractNumId w:val="1"/>
  </w:num>
  <w:num w:numId="5" w16cid:durableId="573970784">
    <w:abstractNumId w:val="4"/>
  </w:num>
  <w:num w:numId="6" w16cid:durableId="493839917">
    <w:abstractNumId w:val="5"/>
  </w:num>
  <w:num w:numId="7" w16cid:durableId="1164276576">
    <w:abstractNumId w:val="2"/>
  </w:num>
  <w:num w:numId="8" w16cid:durableId="635109394">
    <w:abstractNumId w:val="14"/>
  </w:num>
  <w:num w:numId="9" w16cid:durableId="794904949">
    <w:abstractNumId w:val="16"/>
  </w:num>
  <w:num w:numId="10" w16cid:durableId="1062867228">
    <w:abstractNumId w:val="20"/>
  </w:num>
  <w:num w:numId="11" w16cid:durableId="1002780082">
    <w:abstractNumId w:val="25"/>
  </w:num>
  <w:num w:numId="12" w16cid:durableId="1968966891">
    <w:abstractNumId w:val="22"/>
  </w:num>
  <w:num w:numId="13" w16cid:durableId="2069186750">
    <w:abstractNumId w:val="3"/>
  </w:num>
  <w:num w:numId="14" w16cid:durableId="1111628053">
    <w:abstractNumId w:val="0"/>
  </w:num>
  <w:num w:numId="15" w16cid:durableId="2143231698">
    <w:abstractNumId w:val="9"/>
  </w:num>
  <w:num w:numId="16" w16cid:durableId="1875536451">
    <w:abstractNumId w:val="8"/>
  </w:num>
  <w:num w:numId="17" w16cid:durableId="916862524">
    <w:abstractNumId w:val="11"/>
  </w:num>
  <w:num w:numId="18" w16cid:durableId="1646199170">
    <w:abstractNumId w:val="13"/>
  </w:num>
  <w:num w:numId="19" w16cid:durableId="1041393281">
    <w:abstractNumId w:val="24"/>
  </w:num>
  <w:num w:numId="20" w16cid:durableId="1142312286">
    <w:abstractNumId w:val="17"/>
  </w:num>
  <w:num w:numId="21" w16cid:durableId="702751059">
    <w:abstractNumId w:val="19"/>
  </w:num>
  <w:num w:numId="22" w16cid:durableId="1368334758">
    <w:abstractNumId w:val="6"/>
  </w:num>
  <w:num w:numId="23" w16cid:durableId="603004382">
    <w:abstractNumId w:val="12"/>
  </w:num>
  <w:num w:numId="24" w16cid:durableId="1230574724">
    <w:abstractNumId w:val="10"/>
  </w:num>
  <w:num w:numId="25" w16cid:durableId="1085034238">
    <w:abstractNumId w:val="7"/>
  </w:num>
  <w:num w:numId="26" w16cid:durableId="176175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0CAF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4AD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1798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37037"/>
    <w:rsid w:val="00252276"/>
    <w:rsid w:val="00256B69"/>
    <w:rsid w:val="00261943"/>
    <w:rsid w:val="00272036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696B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3DCD"/>
    <w:rsid w:val="004E4D10"/>
    <w:rsid w:val="004F5760"/>
    <w:rsid w:val="004F7E5D"/>
    <w:rsid w:val="0050293F"/>
    <w:rsid w:val="0050320C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B14"/>
    <w:rsid w:val="005A6C34"/>
    <w:rsid w:val="005C08F1"/>
    <w:rsid w:val="005C4744"/>
    <w:rsid w:val="005D147A"/>
    <w:rsid w:val="005D458B"/>
    <w:rsid w:val="005E007F"/>
    <w:rsid w:val="005E2090"/>
    <w:rsid w:val="005F4416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53D0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07E9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87682"/>
    <w:rsid w:val="00891215"/>
    <w:rsid w:val="0089661B"/>
    <w:rsid w:val="0089779F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62756"/>
    <w:rsid w:val="0097665F"/>
    <w:rsid w:val="00977A6B"/>
    <w:rsid w:val="009A16B3"/>
    <w:rsid w:val="009A3463"/>
    <w:rsid w:val="009B4F16"/>
    <w:rsid w:val="009C5D51"/>
    <w:rsid w:val="009D1107"/>
    <w:rsid w:val="009E490F"/>
    <w:rsid w:val="009E5238"/>
    <w:rsid w:val="00A11999"/>
    <w:rsid w:val="00A17310"/>
    <w:rsid w:val="00A2201A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25AF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796"/>
    <w:rsid w:val="00B81791"/>
    <w:rsid w:val="00B8445E"/>
    <w:rsid w:val="00BA5B12"/>
    <w:rsid w:val="00BB638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941"/>
    <w:rsid w:val="00C128DE"/>
    <w:rsid w:val="00C17094"/>
    <w:rsid w:val="00C36859"/>
    <w:rsid w:val="00C43463"/>
    <w:rsid w:val="00C6291B"/>
    <w:rsid w:val="00C65520"/>
    <w:rsid w:val="00C6726F"/>
    <w:rsid w:val="00C76A5B"/>
    <w:rsid w:val="00C76C9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F98"/>
    <w:rsid w:val="00E34CFC"/>
    <w:rsid w:val="00E35AB0"/>
    <w:rsid w:val="00E415B4"/>
    <w:rsid w:val="00E548EC"/>
    <w:rsid w:val="00E61D61"/>
    <w:rsid w:val="00E629FE"/>
    <w:rsid w:val="00E66CB3"/>
    <w:rsid w:val="00E81E72"/>
    <w:rsid w:val="00EA31D7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4C10"/>
    <w:rsid w:val="00F27243"/>
    <w:rsid w:val="00F30AFD"/>
    <w:rsid w:val="00F42524"/>
    <w:rsid w:val="00F52598"/>
    <w:rsid w:val="00F64C15"/>
    <w:rsid w:val="00F75181"/>
    <w:rsid w:val="00F75E0D"/>
    <w:rsid w:val="00FA453D"/>
    <w:rsid w:val="00FA54C4"/>
    <w:rsid w:val="00FB6662"/>
    <w:rsid w:val="00FC5F48"/>
    <w:rsid w:val="00FC7D31"/>
    <w:rsid w:val="00FD07FE"/>
    <w:rsid w:val="00FD1EFB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523-423E-4691-B9B4-BCBB9D5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1029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Cakó Balázs</cp:lastModifiedBy>
  <cp:revision>14</cp:revision>
  <dcterms:created xsi:type="dcterms:W3CDTF">2023-01-18T12:22:00Z</dcterms:created>
  <dcterms:modified xsi:type="dcterms:W3CDTF">2023-09-01T15:21:00Z</dcterms:modified>
</cp:coreProperties>
</file>