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hd w:val="clear" w:color="auto" w:fill="C7C7C7" w:themeFill="accent1" w:themeFillShade="e6"/>
        <w:spacing w:before="300" w:after="40"/>
        <w:rPr/>
      </w:pPr>
      <w:r>
        <w:rPr/>
        <w:t xml:space="preserve">Tantárgyi tematika és teljesítési követelmények </w:t>
        <w:br/>
        <w:t>2022/2023 1. félév</w:t>
      </w:r>
    </w:p>
    <w:tbl>
      <w:tblPr>
        <w:tblStyle w:val="Tblzatrcsos7tarka1"/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24"/>
        <w:gridCol w:w="6527"/>
      </w:tblGrid>
      <w:tr>
        <w:trPr>
          <w:cnfStyle w:val="100000000000"/>
        </w:trPr>
        <w:tc>
          <w:tcPr>
            <w:tcW w:w="3624" w:type="dxa"/>
            <w:cnfStyle w:val="00100000010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Cím</w:t>
            </w:r>
          </w:p>
        </w:tc>
        <w:tc>
          <w:tcPr>
            <w:tcW w:w="6527" w:type="dxa"/>
            <w:cnfStyle w:val="000100001000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" w:cs="Calibri Light" w:ascii="Calibri Light" w:hAnsi="Calibri Light" w:asciiTheme="majorHAnsi" w:cstheme="majorHAnsi" w:hAnsiTheme="majorHAnsi"/>
                <w:b/>
                <w:bCs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Elektromágneses összeférhetőség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Tárgykód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IVB458M</w:t>
            </w: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L</w:t>
            </w: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VM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Heti óraszám: ea/gy/lab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2-0-0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Kreditpont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3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Szak(ok)/ típus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Szakmai törzsanyag (BSc/K)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Tagozat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Cs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levelező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Követelmény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félévközi jegy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Meghirdetés féléve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 (ősz)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Előzetes követelmény(ek)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IVB017M</w:t>
            </w: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L</w:t>
            </w: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VM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 tanszék(ek)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cs="Times New Roman" w:asciiTheme="majorHAnsi" w:hAnsiTheme="majorHAnsi"/>
                <w:b/>
                <w:b/>
                <w:i w:val="false"/>
                <w:i w:val="false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Villamos hálózatok tanszék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asciiTheme="majorHAnsi" w:hAnsiTheme="majorHAnsi" w:ascii="Calibri Light" w:hAnsi="Calibri Light"/>
                <w:b/>
                <w:i/>
                <w:color w:val="auto"/>
              </w:rPr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Tárgyfelelős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Dr. Elmer György</w:t>
            </w:r>
          </w:p>
        </w:tc>
      </w:tr>
      <w:tr>
        <w:trPr>
          <w:cnfStyle w:val="010000000000"/>
        </w:trPr>
        <w:tc>
          <w:tcPr>
            <w:tcW w:w="3624" w:type="dxa"/>
            <w:cnfStyle w:val="001000000001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Oktatók</w:t>
            </w:r>
          </w:p>
        </w:tc>
        <w:tc>
          <w:tcPr>
            <w:tcW w:w="6527" w:type="dxa"/>
            <w:cnfStyle w:val="000100000010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bCs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Dr. Elmer György</w:t>
            </w:r>
          </w:p>
        </w:tc>
      </w:tr>
    </w:tbl>
    <w:p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>
        <w:rPr/>
        <w:t>Tárgyleírás</w:t>
      </w:r>
    </w:p>
    <w:p>
      <w:pPr>
        <w:pStyle w:val="Normal"/>
        <w:suppressAutoHyphens w:val="true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color="auto" w:fill="DFDFDF" w:themeFill="background2" w:themeFillShade="e6"/>
        <w:rPr/>
      </w:pPr>
      <w:r>
        <w:rPr/>
        <w:t>Az elektromágneses összeférhetőség (EMC) célja, alapfogalmai, témakörei. Zavarok csatolási módjai, azonos és ellenütemű zavarok. Elektrosztatikus feltöltődés/károkozás (ESD). Lökőhullám (EMP), túlfeszültség-védelem. Kisfrekvenciás zavarok (LFI), harmonikusok, feszültségzavarok, hálózati visszahatások, szűrés, árnyékolás. Rádiófrekvenciás zavarok (RFI) vezetékes jelátvitel. EMC számítások, mérések, mérőeszközök, modellezés, szimuláció. EMC irányelv, rendelet, szabványok</w:t>
      </w:r>
    </w:p>
    <w:p>
      <w:pPr>
        <w:pStyle w:val="Normal"/>
        <w:suppressAutoHyphens w:val="true"/>
        <w:rPr>
          <w:i/>
          <w:i/>
          <w:iCs/>
        </w:rPr>
      </w:pPr>
      <w:r>
        <w:rPr>
          <w:i/>
          <w:iCs/>
        </w:rPr>
      </w:r>
    </w:p>
    <w:p>
      <w:pPr>
        <w:pStyle w:val="Heading1"/>
        <w:shd w:val="clear" w:color="auto" w:fill="C7C7C7" w:themeFill="accent1" w:themeFillShade="e6"/>
        <w:rPr/>
      </w:pPr>
      <w:r>
        <w:rPr/>
        <w:t>Tárgytematika</w:t>
      </w:r>
    </w:p>
    <w:p>
      <w:pPr>
        <w:pStyle w:val="Normal"/>
        <w:rPr/>
      </w:pPr>
      <w:r>
        <w:rPr>
          <w:i/>
          <w:iCs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2"/>
        </w:numPr>
        <w:rPr>
          <w:rFonts w:ascii="Times New Roman" w:hAnsi="Times New Roman"/>
          <w:b/>
          <w:b/>
          <w:bCs/>
        </w:rPr>
      </w:pPr>
      <w:r>
        <w:rPr>
          <w:b/>
          <w:bCs/>
          <w:lang w:val="en-US"/>
        </w:rPr>
        <w:t>Az oktatás célja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  <w:t>Az elektromágneses összeférhetőség problémakörének, fogalomrendszerének, megvalósítási alapelveinek, egyes gyakorlati megoldásainak, méretezési módszereinek, a kapcsolódó szabványok rendszerének és jogi előírásainak megismerése.</w:t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 tantárgy tartalma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Style w:val="PlainTable3"/>
        <w:tblW w:w="10348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1"/>
        <w:gridCol w:w="8506"/>
      </w:tblGrid>
      <w:tr>
        <w:trPr>
          <w:cnfStyle w:val="100000000000"/>
        </w:trPr>
        <w:tc>
          <w:tcPr>
            <w:tcW w:w="1841" w:type="dxa"/>
            <w:cnfStyle w:val="001000000100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caps/>
              </w:rPr>
            </w:r>
          </w:p>
        </w:tc>
        <w:tc>
          <w:tcPr>
            <w:tcW w:w="8506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100000000000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Témakörök</w:t>
            </w:r>
          </w:p>
        </w:tc>
      </w:tr>
      <w:tr>
        <w:trPr>
          <w:cnfStyle w:val="000000100000"/>
        </w:trPr>
        <w:tc>
          <w:tcPr>
            <w:tcW w:w="1841" w:type="dxa"/>
            <w:cnfStyle w:val="00100000000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Előadás</w:t>
            </w:r>
          </w:p>
        </w:tc>
        <w:tc>
          <w:tcPr>
            <w:tcW w:w="8506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/>
              <w:rPr>
                <w:rFonts w:ascii="Calibri" w:hAnsi="Calibri" w:eastAsia="Times New Roman" w:cs="Times New Roman"/>
                <w:i/>
                <w:i/>
                <w:iCs/>
                <w:color w:val="969696"/>
              </w:rPr>
            </w:pPr>
            <w:r>
              <w:rPr>
                <w:kern w:val="0"/>
                <w:sz w:val="20"/>
                <w:szCs w:val="20"/>
                <w:lang w:val="hu-HU" w:eastAsia="en-US" w:bidi="ar-SA"/>
              </w:rPr>
              <w:t>Az elektromágneses összeférhetőség célja, terminológiája és témakörei, elektromágneses környezet, elektromágneses zavarok csatolási módjai</w:t>
            </w:r>
            <w:r>
              <w:rPr>
                <w:rFonts w:eastAsia="Times New Roman" w:cs="Times New Roman"/>
                <w:i/>
                <w:iCs/>
                <w:color w:val="969696"/>
                <w:kern w:val="0"/>
                <w:sz w:val="20"/>
                <w:szCs w:val="20"/>
                <w:lang w:val="hu-HU" w:eastAsia="en-US" w:bidi="ar-SA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/>
              <w:rPr>
                <w:rFonts w:ascii="Calibri" w:hAnsi="Calibri" w:eastAsia="Times New Roman" w:cs="Times New Roman"/>
                <w:i/>
                <w:i/>
                <w:iCs/>
                <w:color w:val="969696"/>
              </w:rPr>
            </w:pPr>
            <w:r>
              <w:rPr>
                <w:kern w:val="0"/>
                <w:sz w:val="20"/>
                <w:szCs w:val="20"/>
                <w:lang w:val="hu-HU" w:eastAsia="en-US" w:bidi="ar-SA"/>
              </w:rPr>
              <w:t>Elektrosztatikus kisülés okai. ESD érzékenység mérése. ESD modellek, vizsgálatok és megelőző intézkedések, ESD védett körzetek, antisztatikus anyagok, ionizátorok.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/>
              <w:rPr>
                <w:rFonts w:ascii="Calibri" w:hAnsi="Calibri" w:eastAsia="Times New Roman" w:cs="Times New Roman"/>
                <w:i/>
                <w:i/>
                <w:iCs/>
                <w:color w:val="969696"/>
              </w:rPr>
            </w:pPr>
            <w:r>
              <w:rPr>
                <w:kern w:val="0"/>
                <w:sz w:val="20"/>
                <w:szCs w:val="20"/>
                <w:lang w:val="hu-HU" w:eastAsia="en-US" w:bidi="ar-SA"/>
              </w:rPr>
              <w:t>A lökőhullám sajátosságai, fontosabb túlfeszültség-védelmi készülékek – szikraköz, varisztor, zéner-dióda – túlfeszültség-védelmi zónák elve.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Kisfrekvenciás zavarok, harmonikusok, feszültségzavarok, hálózati visszahatások, azok káros hatásai, megelőző intézkedések, szűrők, áramirányítók zavarai. Földelési rendszerek.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Rádiófrekvenciás zavarok, árnyékolás, vezetékes és vezeték nélküli jelátvitel, fénykábelek, jelintegritás.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EMC számítások, mérések, mérőeszközök, modellezés, szimuláció, az EMC irányelv, jogi szabályozók és szabványok.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</w:r>
          </w:p>
        </w:tc>
      </w:tr>
      <w:tr>
        <w:trPr/>
        <w:tc>
          <w:tcPr>
            <w:tcW w:w="1841" w:type="dxa"/>
            <w:cnfStyle w:val="00100000000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6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contextualSpacing/>
              <w:jc w:val="both"/>
              <w:cnfStyle w:val="000000000000"/>
              <w:rPr>
                <w:rFonts w:ascii="Calibri" w:hAnsi="Calibri" w:eastAsia="Times New Roman" w:cs="Times New Roman"/>
                <w:i/>
                <w:i/>
                <w:iCs/>
                <w:color w:val="969696"/>
                <w:lang w:val="en-GB"/>
              </w:rPr>
            </w:pPr>
            <w:r>
              <w:rPr>
                <w:kern w:val="0"/>
                <w:sz w:val="20"/>
                <w:szCs w:val="20"/>
                <w:lang w:val="en-US" w:eastAsia="en-US" w:bidi="ar-SA"/>
              </w:rPr>
              <w:tab/>
              <w:t>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i/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</w:r>
          </w:p>
        </w:tc>
      </w:tr>
      <w:tr>
        <w:trPr>
          <w:cnfStyle w:val="000000100000"/>
        </w:trPr>
        <w:tc>
          <w:tcPr>
            <w:tcW w:w="1841" w:type="dxa"/>
            <w:cnfStyle w:val="00100000000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caps w:val="false"/>
                <w:smallCap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Labor-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6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en-US" w:eastAsia="en-US" w:bidi="ar-SA"/>
              </w:rPr>
              <w:tab/>
              <w:t>-</w:t>
            </w:r>
          </w:p>
        </w:tc>
      </w:tr>
    </w:tbl>
    <w:p>
      <w:pPr>
        <w:pStyle w:val="Normal"/>
        <w:jc w:val="center"/>
        <w:rPr>
          <w:b/>
          <w:b/>
          <w:bCs/>
          <w:highlight w:val="green"/>
        </w:rPr>
      </w:pPr>
      <w:r>
        <w:rPr>
          <w:b/>
          <w:bCs/>
          <w:highlight w:val="green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3"/>
        <w:rPr>
          <w:b/>
          <w:b/>
          <w:bCs/>
        </w:rPr>
      </w:pPr>
      <w:r>
        <w:rPr>
          <w:b/>
          <w:bCs/>
        </w:rPr>
        <w:t>Részletes tantárgyi program és a követelmények ütemezése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Jelezzük az oktatási szüneteket is!</w:t>
      </w:r>
    </w:p>
    <w:p>
      <w:pPr>
        <w:pStyle w:val="Normal"/>
        <w:rPr/>
      </w:pPr>
      <w:r>
        <w:rPr/>
      </w:r>
    </w:p>
    <w:tbl>
      <w:tblPr>
        <w:tblStyle w:val="Tblzatrcsos7tarka1"/>
        <w:tblW w:w="10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1"/>
        <w:gridCol w:w="3827"/>
        <w:gridCol w:w="1983"/>
        <w:gridCol w:w="1842"/>
        <w:gridCol w:w="1987"/>
      </w:tblGrid>
      <w:tr>
        <w:trPr>
          <w:cnfStyle w:val="100000000000"/>
        </w:trPr>
        <w:tc>
          <w:tcPr>
            <w:tcW w:w="10350" w:type="dxa"/>
            <w:gridSpan w:val="5"/>
            <w:cnfStyle w:val="001000000100"/>
            <w:tcBorders/>
            <w:shd w:color="auto" w:fill="FFFFFF" w:themeFill="background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ELŐADÁS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bCs/>
                <w:cap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Kötelező irodalom hivatkozás, 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Az elektromágneses összeférhetőség definíciója</w:t>
            </w:r>
            <w:r>
              <w:rPr>
                <w:rFonts w:eastAsia="" w:cs=""/>
                <w:color w:val="000000"/>
                <w:w w:val="105"/>
                <w:kern w:val="0"/>
                <w:sz w:val="20"/>
                <w:szCs w:val="20"/>
                <w:lang w:val="hu-HU" w:eastAsia="en-US" w:bidi="ar-SA"/>
              </w:rPr>
              <w:t>, terminológiája, főbb témakörei. Zavarforrások és -nyelők.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 EMC szintek, elektromágneses környezet.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EMCm_01_Termino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Zavarok csatolási módjai. Azonos és ellenütemű zavarok.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EMCm_014_Csatol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Az elektrosztatikus feltöltődés, károkozás okai. Gázkisülések. Az ESD káros hatásai.  ESD érzékenység. ESD modellek, vizsgálatok. Számítási feladat.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EMCm_021_ESD</w:t>
            </w:r>
            <w:bookmarkStart w:id="0" w:name="_GoBack"/>
            <w:bookmarkEnd w:id="0"/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_Okok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Az elektrosztatikus feltöltődés mérése és számítása. ESD elleni védelem, elektrosztatikusan disszipatív anyagok, berendezések. ESD védett körzetek, ionizátorok.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EMCm_022_ESD_VedMer;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EMCm_025_ESD_Ved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 lökőhullám tulajdonságai, a legfontosabb túlfeszültség-védelmi eszközök – szikraköz, varisztor – zéner dióda – működési elve, a túlfeszültség-védelmi zónák elve. Számítási feladat.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EMCm_031_EMP_Tulfesz;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EMCm_031_SEMP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Kisfrekvenciás vezetett zavarok (LFI). Vezetett zavarok a villamos hálózatokon, harmonikusok, azok forrásai és hatásai. Áramirányítók zavarai.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EMCm_041_LFI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Feszültségzavarok, hálózati visszahatások, azok káros hatásai, megelőző intézkedések, szűrők, frekvenciaváltók zavarai. Földelési rendszerek.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EMCm_042_Harm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zárthelyi dolgozat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EMCm_01-042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8.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Erősáramú hálózatok, távvezetékek, transzformátorok és kapcsolóberedenzések zavarai.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EMCm_043_Eros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US" w:eastAsia="en-US" w:bidi="ar-SA"/>
              </w:rPr>
              <w:t>Földelési rendszerek és azok EMC szempontjai. Szűrő áramkörök, megelőző intézkedések vezetett zavarokkal szemben.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EMCm_044_Foldel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US" w:eastAsia="en-US" w:bidi="ar-SA"/>
              </w:rPr>
              <w:t>Rádiófekvenciás zavarok, átnyékolás, vezetékes és vezetéknélküli jelátvitel, optikai kábelek, jelintegritás.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EMCm_05_RFI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US" w:eastAsia="en-US" w:bidi="ar-SA"/>
              </w:rPr>
              <w:t>EMC számítások, mérések, mérő-berendezések, modellezés, szimuláció.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EMCm_052_Meres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US" w:eastAsia="en-US" w:bidi="ar-SA"/>
              </w:rPr>
              <w:t>EMC irányelv, jogi szabályozók és szabványok.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EMCm_053_Iranyelv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zárthelyi dolgozat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EMCm_043-053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14.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Zárthelyi dolgozatok pótlása, javítása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EMCm_01-053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1./2. ZH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15. hét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blzatrcsos7tarka1"/>
        <w:tblW w:w="10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2"/>
        <w:gridCol w:w="3832"/>
        <w:gridCol w:w="1987"/>
        <w:gridCol w:w="1842"/>
        <w:gridCol w:w="1985"/>
      </w:tblGrid>
      <w:tr>
        <w:trPr>
          <w:cnfStyle w:val="100000000000"/>
        </w:trPr>
        <w:tc>
          <w:tcPr>
            <w:tcW w:w="10348" w:type="dxa"/>
            <w:gridSpan w:val="5"/>
            <w:cnfStyle w:val="001000000100"/>
            <w:tcBorders/>
            <w:shd w:color="auto" w:fill="FFFFFF" w:themeFill="background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caps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ap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Gyakorlat/Laborgyakorlat</w:t>
            </w:r>
          </w:p>
        </w:tc>
      </w:tr>
      <w:tr>
        <w:trPr>
          <w:cnfStyle w:val="000000100000"/>
        </w:trPr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2" w:type="dxa"/>
            <w:cnfStyle w:val="001000000000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2"/>
        </w:numPr>
        <w:rPr>
          <w:b/>
          <w:b/>
          <w:bCs/>
          <w:lang w:val="en-US"/>
        </w:rPr>
      </w:pPr>
      <w:r>
        <w:rPr>
          <w:b/>
          <w:bCs/>
          <w:lang w:val="en-US"/>
        </w:rPr>
        <w:t>Számonkérési és értékelési rendszer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iCs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jelenlét ellenőrzésének módja </w:t>
      </w:r>
      <w:r>
        <w:rPr>
          <w:i/>
          <w:iCs/>
          <w:sz w:val="16"/>
          <w:szCs w:val="16"/>
        </w:rPr>
        <w:t>(pl.: jelenléti ív / online teszt/ jegyzőkönyv, stb.)</w:t>
      </w:r>
    </w:p>
    <w:p>
      <w:pPr>
        <w:pStyle w:val="Normal"/>
        <w:shd w:val="clear" w:color="auto" w:fill="DFDFDF" w:themeFill="background2" w:themeFillShade="e6"/>
        <w:rPr/>
      </w:pPr>
      <w:r>
        <w:rPr/>
        <w:t>Jelenléti ív.</w:t>
      </w:r>
    </w:p>
    <w:p>
      <w:pPr>
        <w:pStyle w:val="Normal"/>
        <w:rPr/>
      </w:pPr>
      <w:r>
        <w:rPr/>
      </w:r>
    </w:p>
    <w:p>
      <w:pPr>
        <w:pStyle w:val="Heading5"/>
        <w:keepNext w:val="true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Számonkérések </w:t>
      </w:r>
    </w:p>
    <w:p>
      <w:pPr>
        <w:pStyle w:val="Normal"/>
        <w:keepNext w:val="true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IntenseQuote"/>
        <w:ind w:left="1440" w:right="1440" w:hanging="1440"/>
        <w:rPr>
          <w:sz w:val="22"/>
          <w:szCs w:val="22"/>
        </w:rPr>
      </w:pPr>
      <w:r>
        <w:rPr>
          <w:sz w:val="22"/>
          <w:szCs w:val="22"/>
        </w:rPr>
        <w:t xml:space="preserve">Félévközi jeggyel záruló tantárgy </w:t>
      </w:r>
      <w:r>
        <w:rPr>
          <w:b w:val="false"/>
          <w:bCs w:val="false"/>
          <w:sz w:val="22"/>
          <w:szCs w:val="22"/>
        </w:rPr>
        <w:t>(PTE TVSz 40§(3))</w:t>
      </w:r>
    </w:p>
    <w:p>
      <w:pPr>
        <w:pStyle w:val="Normal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minősítésben </w:t>
      </w:r>
      <w:r>
        <w:rPr>
          <w:rStyle w:val="SubtleEmphasis"/>
          <w:sz w:val="16"/>
          <w:szCs w:val="16"/>
        </w:rPr>
        <w:t>(A táblázat példái törlendők.)</w:t>
      </w:r>
    </w:p>
    <w:tbl>
      <w:tblPr>
        <w:tblStyle w:val="GridTableLight"/>
        <w:tblW w:w="8500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7"/>
        <w:gridCol w:w="1508"/>
        <w:gridCol w:w="2125"/>
      </w:tblGrid>
      <w:tr>
        <w:trPr/>
        <w:tc>
          <w:tcPr>
            <w:tcW w:w="48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Típus</w:t>
            </w:r>
          </w:p>
        </w:tc>
        <w:tc>
          <w:tcPr>
            <w:tcW w:w="15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Értékelés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Részarány a minősítésben</w:t>
            </w:r>
          </w:p>
        </w:tc>
      </w:tr>
      <w:tr>
        <w:trPr/>
        <w:tc>
          <w:tcPr>
            <w:tcW w:w="486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45" w:hanging="0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50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100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50 %</w:t>
            </w:r>
          </w:p>
        </w:tc>
      </w:tr>
      <w:tr>
        <w:trPr/>
        <w:tc>
          <w:tcPr>
            <w:tcW w:w="486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 xml:space="preserve"> 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50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100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50 %</w:t>
            </w:r>
          </w:p>
        </w:tc>
      </w:tr>
      <w:tr>
        <w:trPr/>
        <w:tc>
          <w:tcPr>
            <w:tcW w:w="486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</w:r>
          </w:p>
        </w:tc>
        <w:tc>
          <w:tcPr>
            <w:tcW w:w="150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</w:r>
          </w:p>
        </w:tc>
      </w:tr>
    </w:tbl>
    <w:p>
      <w:pPr>
        <w:pStyle w:val="Normal"/>
        <w:ind w:left="1559" w:hanging="851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851" w:hanging="851"/>
        <w:rPr/>
      </w:pPr>
      <w:r>
        <w:rPr>
          <w:rStyle w:val="SubtleEmphasis"/>
          <w:b/>
          <w:bCs/>
        </w:rPr>
        <w:t>Pótlási lehetőségek módja, típusa</w:t>
      </w:r>
      <w:r>
        <w:rPr/>
        <w:t xml:space="preserve"> </w:t>
      </w:r>
      <w:r>
        <w:rPr>
          <w:sz w:val="16"/>
          <w:szCs w:val="16"/>
        </w:rPr>
        <w:t>(PTE TVSz 47§(4))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>
      <w:pPr>
        <w:pStyle w:val="Normal"/>
        <w:shd w:val="clear" w:color="auto" w:fill="DFDFDF" w:themeFill="background2" w:themeFillShade="e6"/>
        <w:rPr/>
      </w:pPr>
      <w:r>
        <w:rPr/>
        <w:t>15- oktatási héten.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Az érdemjegy kialakításának módja %-os bontásban </w:t>
      </w:r>
    </w:p>
    <w:p>
      <w:pPr>
        <w:pStyle w:val="Normal"/>
        <w:ind w:left="1559" w:hanging="851"/>
        <w:rPr>
          <w:rStyle w:val="SubtleEmphasis"/>
          <w:sz w:val="16"/>
          <w:szCs w:val="16"/>
        </w:rPr>
      </w:pPr>
      <w:r>
        <w:rPr>
          <w:rStyle w:val="SubtleEmphasis"/>
          <w:sz w:val="16"/>
          <w:szCs w:val="16"/>
        </w:rPr>
        <w:t>Az összesített teljesítmény alapján az alábbi szerint.</w:t>
      </w:r>
    </w:p>
    <w:p>
      <w:pPr>
        <w:pStyle w:val="Heading6"/>
        <w:rPr/>
      </w:pPr>
      <w:r>
        <w:rPr/>
      </w:r>
    </w:p>
    <w:tbl>
      <w:tblPr>
        <w:tblStyle w:val="GridTableLight"/>
        <w:tblW w:w="5245" w:type="dxa"/>
        <w:jc w:val="left"/>
        <w:tblInd w:w="1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85 %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70 %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55 % ... 70 %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... 55 %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Irodalom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Kötelező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[1.] EMCm_* elektronikus jegyzet. Szerző: Dr. Elmer György. Elérhető a hallgató által hozott pendrive-ra Elmer Györgytől.</w:t>
      </w:r>
    </w:p>
    <w:p>
      <w:pPr>
        <w:pStyle w:val="Heading5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Ajánlott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[1.] -</w:t>
      </w:r>
    </w:p>
    <w:p>
      <w:pPr>
        <w:pStyle w:val="Normal"/>
        <w:spacing w:before="200" w:after="0"/>
        <w:rPr/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1483044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hu-H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3e0"/>
    <w:pPr>
      <w:widowControl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msor2Char" w:customStyle="1">
    <w:name w:val="Címsor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link w:val="Header"/>
    <w:uiPriority w:val="99"/>
    <w:qFormat/>
    <w:rsid w:val="005f7e4b"/>
    <w:rPr/>
  </w:style>
  <w:style w:type="character" w:styleId="LlbChar" w:customStyle="1">
    <w:name w:val="Élőláb Char"/>
    <w:basedOn w:val="DefaultParagraphFont"/>
    <w:link w:val="Footer"/>
    <w:uiPriority w:val="99"/>
    <w:qFormat/>
    <w:rsid w:val="005f7e4b"/>
    <w:rPr/>
  </w:style>
  <w:style w:type="character" w:styleId="Cmsor4Char" w:customStyle="1">
    <w:name w:val="Címsor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CmChar" w:customStyle="1">
    <w:name w:val="Cím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AlcmChar" w:customStyle="1">
    <w:name w:val="Alcím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AlcmChar"/>
    <w:uiPriority w:val="11"/>
    <w:qFormat/>
    <w:rsid w:val="00ce73e0"/>
    <w:pPr>
      <w:spacing w:before="0" w:after="720"/>
      <w:jc w:val="right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oSpacing">
    <w:name w:val="No Spacing"/>
    <w:link w:val="NincstrkzChar"/>
    <w:uiPriority w:val="1"/>
    <w:qFormat/>
    <w:rsid w:val="00ce73e0"/>
    <w:pPr>
      <w:widowControl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7ECE-3BD4-4D21-935B-8A9BA04E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LibreOffice/7.3.6.2$Linux_X86_64 LibreOffice_project/30$Build-2</Application>
  <AppVersion>15.0000</AppVersion>
  <Pages>4</Pages>
  <Words>845</Words>
  <Characters>6279</Characters>
  <CharactersWithSpaces>6930</CharactersWithSpaces>
  <Paragraphs>200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2022-08-29T07:35:00Z</dcterms:created>
  <dc:creator>JAI</dc:creator>
  <dc:description/>
  <dc:language>en-US</dc:language>
  <cp:lastModifiedBy/>
  <dcterms:modified xsi:type="dcterms:W3CDTF">2022-09-27T15:41:42Z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