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C7C7C7" w:themeFill="accent1" w:themeFillShade="e6"/>
        <w:spacing w:before="300" w:after="40"/>
        <w:rPr/>
      </w:pPr>
      <w:r>
        <w:rPr/>
        <w:t xml:space="preserve">Tantárgyi tematika és teljesítési követelmények </w:t>
        <w:br/>
        <w:t>2022/2023. 1.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24"/>
        <w:gridCol w:w="6527"/>
      </w:tblGrid>
      <w:tr>
        <w:trPr>
          <w:cnfStyle w:val="100000000000"/>
        </w:trPr>
        <w:tc>
          <w:tcPr>
            <w:tcW w:w="3624" w:type="dxa"/>
            <w:cnfStyle w:val="0010000001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Calibri Light" w:ascii="Calibri Light" w:hAnsi="Calibri Light" w:asciiTheme="majorHAnsi" w:cs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energetika II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IVB460M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2-1-1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5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Differenciált szakmai anyag (BSc/K)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 (ősz)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IVB459M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cs="Times New Roman" w:asciiTheme="majorHAnsi" w:hAnsiTheme="majorHAnsi"/>
                <w:b/>
                <w:b/>
                <w:i w:val="false"/>
                <w:i w:val="false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  <w:tr>
        <w:trPr>
          <w:cnfStyle w:val="010000000000"/>
        </w:trPr>
        <w:tc>
          <w:tcPr>
            <w:tcW w:w="3624" w:type="dxa"/>
            <w:cnfStyle w:val="00100000000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1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Villamosenergia-rendszerek felépítése, elemei, feszültségszintjei. A szimmetrikus összetevők módszere és alkalmazása. A hálózati elemek egyfázisú és különböző sorrendű áramokkal szembeni impedanciái. A hálózatok soros és sönt hibái, zárlatok fajtái, számítása, a csillagpont-kezelés hatása a földzárlatokra. Zárlatszámítási módszerek. Szabadvezetékek villamos és mechanikai jellemzői és mechanikai állapotegyenlete. Belógási diagram és alkalmazása. Szabadvezetékek oszlopai, szigetelői, erőhatásai, alapozása, földelése és létesítése.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4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A hallgatók megismertetése a villamosenergia-rendszerek felépítésével, elemeivel, zárlataival, csillagpont-kezelésével, a szimmetrikus összetevők módszerével és különböző zárlatfajták esetén történő alkalmazásával, a zárlatszámítási módokkal, a szabadvezetékek villamos és mechanikai jellemzőivel, oszlopaival, szigetelőivel valamint létesítésével.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505"/>
      </w:tblGrid>
      <w:tr>
        <w:trPr>
          <w:cnfStyle w:val="100000000000"/>
        </w:trPr>
        <w:tc>
          <w:tcPr>
            <w:tcW w:w="1842" w:type="dxa"/>
            <w:cnfStyle w:val="00100000010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/>
        </w:trPr>
        <w:tc>
          <w:tcPr>
            <w:tcW w:w="1842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Villamosenergia-rendszerek és hálózatok topológiája, elemei, feszültségszintjei. Magyarország villamosenergia-rendszerének fejlődése és felépítése.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A szimmetrikus összetevők módszere és alkalmazása. A hálózati elemek egyfázisú és különböző sorrendű áramokkal szembeni impedanciái.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A hálózatok soros és sönt hibái, zárlatok fajtái, számítása, a csillagpont-kezelés hatása a földzárlatokra. Zárlatszámítási módszerek.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Szabadvezetékek villamos és mechanikai jellemzői és mechanikai állapotegyenlete. Belógási diagram és alkalmazása.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Szabadvezetékek oszlopai, szigetelői, erőhatásai, alapozása, földelése és létesítése.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Háromfázisú áramkörök felépítése, feszültségei, áramai, az áramok és teljesítmények számítása.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Aszimmetrikus háromfázisú áramkörök számítása a szimmetrikus összetevők módszerével.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Különböző zárlatok áramainak és teljesítményeinek számítása a tanult zárlatszámítási módszerek felhasználásával.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Szabadvezetékek villamos jellemzőinek – induktív és kapacitív reaktanciáinak – számítása.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Szabadvezetékek mechanikai jellemzőinek számítása. A belógás számítása.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1842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Laboratóriumi munkarend és biztonságtechnika ismertetése.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Nagy-/középfeszültségű transzformátorállomások felépítésének bemutatása elektronikus laboratóriumi modellen. Kapcsolási műveletek végrehajtása a modellen.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22 kV feszültségű, kompenzált, szabadvezetéki vonal különböző pontjain bekövetkező, különböző fajtájú zárlatok előidézése az elektronikus, valamint a fizikai laboratóriumi modelleken, a zárlati áramok értelmezése és dokumentálása.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Zárlati áramok számítása a 22 kV feszültségű, kompenzált, szabadvezetéki vonal elektronikus modelljének jellemző adatainak ismeretében, a kapott értékek ellenőrzése a modell segítésével.</w:t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/>
        </w:trPr>
        <w:tc>
          <w:tcPr>
            <w:tcW w:w="10350" w:type="dxa"/>
            <w:gridSpan w:val="5"/>
            <w:cnfStyle w:val="0010000001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 xml:space="preserve">ELŐADÁS 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b/>
                <w:b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Villamosenergia-rendszerek felépítése, teljesítményegyensúlya, feszültségszintjei. Háromfázisú rendszerek csillagpont-kezelése és teljesítménye.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VEN_II_01_VEN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1-22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hálózat elemei és egyfázisú helyettesítő kapcsolásuk. Hálózatok topológiája, transz-formátorállomások felépítése, gyűjtősín-kapcsolások.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VEN_II_02_01_Haloz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26-31;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VEN_II_02_02_Egyf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32-49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Szimmetrikus összetevők módszere. A szimmetrikus összetevők és az aszimmetrikus mennyiségek számítása.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VEN_II_03_Szimm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51-60; p.67-70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Hálózati elemek különböző sorrendű áramokkal szembeni impedanciája. A pozitív, negatív és zérus sorrendű hálózatok.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VEN_II_03_Szimm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71-83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Hálózatok hibái, zárlatok fajtái, három- és kétfázisú zárlatok, a szimmetrikus összetevő hálózatok kapcsolása.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VEN_II_04_01_Zarlat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85-102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Zárlatszámítás Ohm törvényével, valamint a hálózati elemek saját és a mögöttes zárlati teljesítmény segítségével.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VEN_II_04_01_Zarlat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92-95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Egyfázisú földrövidzárlatok és földzárlatok, a szimmetrikus összetevő hálózatok kapcsolása, a csillagpont-kezelés hatása a földzárlati áramra.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VEN_II_04_01_Zarlat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103-111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VEN_II_* p.1-111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Zárlatszámítás a viszonylagos egységek módszerével. A hatásosan földelt hálózat követelményei.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VEN_II_05_Zarlat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164-163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Szabadvezetékek villamos jellemzői, a természetes teljesítmény. Vezetékek induktív reaktanciája, a geometria és mágneses szempontból egyenértékű sugár.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VEN_II_06_Szabvez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179-185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földhurok induktív reaktanciája. Szabadvezetékek kapacitív reaktanciája. A Ferranti jelenség.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VEN_II_06_Szabvez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179-238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Szabadvezetékek mechanikai jellemzői, terhelései. Oszlopköz, belógás, a mechanikai állapotegyenlet, belógási diagram.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VEN_II_06_Szvm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250-265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Szabadvezetékek szigetelői, oszlopai. Az oszlopok felépítése és fajtái. Szabadvezetékek létesítése, erőhatások, alapozások, földelések.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VEN_II_06_Szvm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280-290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VEN_II_* p. 100-290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VEN_II_* p. 1-290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ZH pótlás, javítás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/>
        </w:trPr>
        <w:tc>
          <w:tcPr>
            <w:tcW w:w="10348" w:type="dxa"/>
            <w:gridSpan w:val="5"/>
            <w:cnfStyle w:val="00100000010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Áram és teljesítmény számítása 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pt-BR" w:eastAsia="en-US" w:bidi="ar-SA"/>
              </w:rPr>
              <w:t>háromfázisú rendszerekben.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VEN_II_01_VEN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p.22-25;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Szimmetrikus hálózatok számítása a hálózati elemek egyfázisú helyettesítő kapcsolásaival.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Laboratóriumi munkarend és biztonság-technika ismertetése.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VEN_II_03_Szimm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p.61-64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Szimmetrikus és aszimmetrikus feszültségek és áramok számítása.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VEN_II_04_01_Zarlat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92-93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Hálózati elemek különböző sorrendű áramokkal szembeni impedanciájának számítása.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Nagy-/középfeszültségű transzformátor-állomások felépítésének bemutatása elektronikus laboratóriumi modellen. Kapcsolási műveletek végre-hajtása a modellen.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VEN_II_05_Zarlat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125-137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3F, 2F és 2FN zárlati áramok számítása Ohm törvénye segítségével különféle hálózati topológiák esetén.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VEN_II_05_Zarlat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125-137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FN és Ff zárlati áramok számítása Ohm törvénye segítségével különféle hálózati topológiák esetén.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22 kV feszültségű, kompenzált, szabad-vezetéki vonal különböző pontjain bekövetkező, különböző fajtájú zárlatok előidézése az elektronikus, valamint a fizikai laboratóriumi modelleken, a zárlati áramok értelmezése és dokumentálása.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VEN_II_05_Zarlat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125-137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Különböző zárlatok áramainak számítása a saját zárlati teljesítményekkel.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VEN_II_05_Zarlat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129-137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VEN_II_* p. 01 – 137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Zárlati áramok számítása különböző módszerekkel, a zárlati áram eloszlása és a feszültség változása.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VEN_II_05_Zarlat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130-159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Induktív reaktanciák és zárlati áramok számítása különböző módszerekkel, a zárlati áram eloszlása és a feszültség változása.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Zárlati áramok számítása a 22 kV feszültségű, kompenzált, szabadvezetéki vonal elektronikus modelljének jellemző adatainak ismeretében, a kapott értékek ellenőrzése a modell segítésével.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VEN_II_06_Szabvez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210-223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Kapacitív reaktanciák, kapacitív töltőáramok és zárlati áramok számítása.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VEN_II_06_Szabvez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238-247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Szabadvezeték villamos és mechanikai méretezése, belógás számítása.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VEN_II_06_Szvm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p. 266-277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Zárlati áramok számítása.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VEN_II_P*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14/15. hét</w:t>
            </w:r>
          </w:p>
        </w:tc>
      </w:tr>
      <w:tr>
        <w:trPr>
          <w:cnfStyle w:val="000000100000"/>
        </w:trPr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VEN_II_*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VEN_II_*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és 2. ZH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1Light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8"/>
        <w:gridCol w:w="1648"/>
        <w:gridCol w:w="1984"/>
      </w:tblGrid>
      <w:tr>
        <w:trPr>
          <w:cnfStyle w:val="100000000000"/>
        </w:trPr>
        <w:tc>
          <w:tcPr>
            <w:tcW w:w="4868" w:type="dxa"/>
            <w:cnfStyle w:val="00100000000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cnfStyle w:val="10000000000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0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0"/>
          </w:p>
        </w:tc>
      </w:tr>
      <w:tr>
        <w:trPr/>
        <w:tc>
          <w:tcPr>
            <w:tcW w:w="4868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</w:t>
            </w: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8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8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200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40%-os évközi teljesítés.</w:t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15. oktatási hét.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írásbeli.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>40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</w:t>
      </w:r>
      <w:r>
        <w:rPr>
          <w:b/>
          <w:bCs/>
          <w:i/>
          <w:iCs/>
          <w:shd w:fill="DFDFDF" w:val="clear"/>
        </w:rPr>
        <w:t xml:space="preserve">50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50 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VEN</w:t>
      </w:r>
      <w:r>
        <w:rPr/>
        <w:t>_II_* elek</w:t>
      </w:r>
      <w:bookmarkStart w:id="1" w:name="_GoBack"/>
      <w:bookmarkEnd w:id="1"/>
      <w:r>
        <w:rPr/>
        <w:t xml:space="preserve">tronikus jegyzet; szerzők: Farkas Sándor, Dr. ELMER György, </w:t>
      </w:r>
      <w:r>
        <w:rPr>
          <w:i/>
          <w:sz w:val="22"/>
          <w:szCs w:val="22"/>
        </w:rPr>
        <w:t>PTE MIK</w:t>
      </w:r>
      <w:r>
        <w:rPr>
          <w:sz w:val="22"/>
          <w:szCs w:val="22"/>
        </w:rPr>
        <w:t>, 2012</w:t>
      </w:r>
      <w:r>
        <w:rPr/>
        <w:t>. Rendelkezésre áll a hallgató által hozott pendrive-ra Elmer Györgytől.</w:t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[1.] </w:t>
      </w:r>
      <w:r>
        <w:rPr/>
        <w:t xml:space="preserve">Geszti P. Ottó: Villamosenergia-rendszerek I., </w:t>
      </w:r>
      <w:r>
        <w:rPr>
          <w:i/>
        </w:rPr>
        <w:t>Tankönyvkiadó</w:t>
      </w:r>
      <w:r>
        <w:rPr/>
        <w:t>, Budapest, 1983. Könyvtárban elérhető.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5806444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CharChar1CharCharCharCharChar1" w:customStyle="1">
    <w:name w:val="Char Char1 Char Char Char Char Char1"/>
    <w:basedOn w:val="Normal"/>
    <w:qFormat/>
    <w:rsid w:val="0003486a"/>
    <w:pPr>
      <w:spacing w:lineRule="exact" w:line="240" w:before="0" w:after="160"/>
      <w:jc w:val="left"/>
    </w:pPr>
    <w:rPr>
      <w:rFonts w:ascii="Tahoma" w:hAnsi="Tahoma" w:eastAsia="Times New Roman" w:cs="Tahoma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7751-D3AE-42BB-BD09-07B2F29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LibreOffice/7.3.6.2$Linux_X86_64 LibreOffice_project/30$Build-2</Application>
  <AppVersion>15.0000</AppVersion>
  <Pages>6</Pages>
  <Words>1370</Words>
  <Characters>9930</Characters>
  <CharactersWithSpaces>11013</CharactersWithSpaces>
  <Paragraphs>303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2022-09-16T01:42:00Z</dcterms:created>
  <dc:creator>JAI</dc:creator>
  <dc:description/>
  <dc:language>en-US</dc:language>
  <cp:lastModifiedBy/>
  <dcterms:modified xsi:type="dcterms:W3CDTF">2022-09-27T15:40:38Z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