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Irányítástechnika1.sz. Melléklet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Ajánlott minta: „Tantárgyleírás, tantárgyi tematika és teljesítési követelmények”</w:t>
      </w:r>
    </w:p>
    <w:p>
      <w:pPr>
        <w:pStyle w:val="Heading1"/>
        <w:shd w:val="clear" w:color="auto" w:fill="C7C7C7" w:themeFill="accent1" w:themeFillShade="e6"/>
        <w:rPr>
          <w:lang w:val="en-US"/>
        </w:rPr>
      </w:pPr>
      <w:r>
        <w:rPr/>
        <w:t xml:space="preserve">Tantárgyi tematika és teljesítési követelmények </w:t>
        <w:br/>
      </w:r>
      <w:r>
        <w:rPr>
          <w:lang w:val="en-US"/>
        </w:rPr>
        <w:t>…2022./2023….. 1.. félév</w:t>
      </w:r>
    </w:p>
    <w:tbl>
      <w:tblPr>
        <w:tblStyle w:val="Tblzatrcsos7tarka1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4"/>
        <w:gridCol w:w="65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Cím</w:t>
            </w:r>
          </w:p>
        </w:tc>
        <w:tc>
          <w:tcPr>
            <w:tcW w:w="6527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" w:cs="" w:ascii="Calibri Light" w:hAnsi="Calibri Light" w:asciiTheme="majorHAnsi" w:hAnsiTheme="majorHAnsi"/>
                <w:b w:val="false"/>
                <w:bCs/>
                <w:i/>
                <w:iCs/>
                <w:color w:val="auto"/>
                <w:kern w:val="0"/>
                <w:sz w:val="24"/>
                <w:szCs w:val="24"/>
                <w:lang w:val="hu-HU" w:eastAsia="en-US" w:bidi="ar-SA"/>
              </w:rPr>
              <w:t>Irányítástechnika 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Tárgykód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IVB200ML</w:t>
            </w:r>
            <w:bookmarkStart w:id="0" w:name="_GoBack"/>
            <w:bookmarkEnd w:id="0"/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VM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Konzultációnkénti óraszám: ea/gy/lab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2/1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Kreditpont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5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Szak(ok)/ típus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Informatika  és Villamos Intézet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Tagozat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Cs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levelező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Követelmény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vizsga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Meghirdetés féléve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Előzetes követelmény(ek)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Irányítástechnika 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 tanszék(ek)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Automatizálási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Tárgyfelelős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Helmich József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Oktatók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6527" w:type="dxa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rPr/>
        <w:t>Tárgyleírás</w:t>
      </w:r>
    </w:p>
    <w:p>
      <w:pPr>
        <w:pStyle w:val="Normal"/>
        <w:suppressAutoHyphens w:val="true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  <w:r>
        <w:rPr/>
        <w:t>Állandó paraméterű nem lineáris szabályozások vizsgálata.Szabályozási rendszerek állapotteres leírása. Mintavételező rendszerek analízise. Mintavételezett jeleket átvivő tagok jellemző függvényei. Mintavételes rendszerek stabilítás vizsgálata, szintézise. Optimális szabályozások.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uppressAutoHyphens w:val="true"/>
        <w:rPr>
          <w:i/>
          <w:i/>
          <w:iCs/>
        </w:rPr>
      </w:pPr>
      <w:r>
        <w:rPr>
          <w:i/>
          <w:iCs/>
        </w:rPr>
      </w:r>
    </w:p>
    <w:p>
      <w:pPr>
        <w:pStyle w:val="Heading1"/>
        <w:shd w:val="clear" w:color="auto" w:fill="C7C7C7" w:themeFill="accent1" w:themeFillShade="e6"/>
        <w:rPr>
          <w:lang w:val="en-US"/>
        </w:rPr>
      </w:pPr>
      <w:r>
        <w:rPr>
          <w:lang w:val="en-US"/>
        </w:rPr>
        <w:t>Tárgytematika</w:t>
      </w:r>
    </w:p>
    <w:p>
      <w:pPr>
        <w:pStyle w:val="Normal"/>
        <w:rPr>
          <w:lang w:val="en-US"/>
        </w:rPr>
      </w:pPr>
      <w:r>
        <w:rPr>
          <w:i/>
          <w:iCs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4"/>
        </w:numPr>
        <w:rPr>
          <w:rFonts w:ascii="Times New Roman" w:hAnsi="Times New Roman"/>
          <w:b/>
          <w:b/>
          <w:bCs/>
        </w:rPr>
      </w:pPr>
      <w:r>
        <w:rPr>
          <w:b/>
          <w:bCs/>
          <w:lang w:val="en-US"/>
        </w:rPr>
        <w:t>Az oktatás célja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  <w:t>…</w:t>
      </w:r>
      <w:r>
        <w:rPr/>
        <w:t>Korszerű szabályozási eljárások megismerése.Digitális irányítás elméletének elsajátítása. Ismeret szerzés a napjaink és a várható fejlődés a szabályozás elméletben.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4"/>
        </w:numPr>
        <w:rPr>
          <w:b/>
          <w:b/>
          <w:bCs/>
        </w:rPr>
      </w:pPr>
      <w:r>
        <w:rPr>
          <w:b/>
          <w:bCs/>
        </w:rPr>
        <w:t>A tantárgy tartalma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PlainTable3"/>
        <w:tblW w:w="10348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42"/>
        <w:gridCol w:w="850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caps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8505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Témakörök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Előadás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Nemlineáriis tagot tartalmazó szabályozási kör tárgyalási módszere.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Fizikai és matematikai mintavételezés. Shannon tételek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Impulzusátviteli függvények meghatáro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DDC rendszerek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DDC rendszerek méretezése, Mintavételi idő meghatározása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ásémakör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Az elméleti anyagra feladazok bemutatásat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Z-transzformáció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Különböző kapcsolatokban az eredő impulzusátviteli függvény meghatározása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DDC szabályozok algoritmusának meghatározása</w:t>
            </w:r>
          </w:p>
          <w:p>
            <w:pPr>
              <w:pStyle w:val="ListParagraph"/>
              <w:widowControl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Szabályozások optimatizálásának kérdései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caps w:val="false"/>
                <w:smallCap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Labor-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jc w:val="center"/>
        <w:rPr>
          <w:b/>
          <w:b/>
          <w:bCs/>
          <w:highlight w:val="green"/>
        </w:rPr>
      </w:pPr>
      <w:r>
        <w:rPr>
          <w:b/>
          <w:bCs/>
          <w:highlight w:val="green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3"/>
        <w:rPr>
          <w:b/>
          <w:b/>
          <w:bCs/>
        </w:rPr>
      </w:pPr>
      <w:r>
        <w:rPr>
          <w:b/>
          <w:bCs/>
        </w:rPr>
        <w:t>Részletes tantárgyi program és a követelmények ütemezése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blzatrcsos7tarka1"/>
        <w:tblW w:w="10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11"/>
        <w:gridCol w:w="3827"/>
        <w:gridCol w:w="1984"/>
        <w:gridCol w:w="1842"/>
        <w:gridCol w:w="19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0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ELŐADÁS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rPr>
                <w:rFonts w:cs="Calibri" w:cstheme="minorHAnsi"/>
                <w:b/>
                <w:b/>
                <w:bCs/>
                <w:cap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Kötelező irodalom hivatkozás, 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Lineáris és nemlineáris szabályozások elemzése…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Leíró függvény és fázis-sík módszer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Mintavételezés, impulzusátvitali függvények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DDC szabályozás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Mintavéeli idő és szabályozási algoritmus meghatározása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blzatrcsos7tarka1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3"/>
        <w:gridCol w:w="3832"/>
        <w:gridCol w:w="1986"/>
        <w:gridCol w:w="1842"/>
        <w:gridCol w:w="1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caps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Gyakorlat/Laborgyakorlat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Konzultációs hét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Elméleti ismeretek megerősítése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Feladat leíró függvényre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Összetett tagok impulzuátviteli függvényének meghatázozása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Összetett tagok impulzuátviteli függvényének meghatázozása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DDC szabályozó méretezése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4"/>
        </w:numPr>
        <w:rPr>
          <w:b/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keepNext w:val="true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IntenseQuote"/>
        <w:ind w:left="1440" w:right="1440" w:hanging="1440"/>
        <w:rPr>
          <w:sz w:val="22"/>
          <w:szCs w:val="22"/>
        </w:rPr>
      </w:pPr>
      <w:r>
        <w:rPr>
          <w:sz w:val="22"/>
          <w:szCs w:val="22"/>
        </w:rPr>
        <w:t xml:space="preserve">Félévközi jeggyel záruló tantárgy </w:t>
      </w:r>
      <w:r>
        <w:rPr>
          <w:b w:val="false"/>
          <w:bCs w:val="false"/>
          <w:sz w:val="22"/>
          <w:szCs w:val="22"/>
        </w:rPr>
        <w:t>(PTE TVSz 40§(3))</w:t>
      </w:r>
    </w:p>
    <w:p>
      <w:pPr>
        <w:pStyle w:val="Normal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minősítésben </w:t>
      </w: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GridTableLight"/>
        <w:tblW w:w="8500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68"/>
        <w:gridCol w:w="1507"/>
        <w:gridCol w:w="2125"/>
      </w:tblGrid>
      <w:tr>
        <w:trPr/>
        <w:tc>
          <w:tcPr>
            <w:tcW w:w="48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5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Részarány a minősítésben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45" w:hanging="0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1. ZH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20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20 %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2. ZH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30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30 %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beadandó Hf (projekt dokumentáció)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30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30 %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15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20 %</w:t>
            </w:r>
          </w:p>
        </w:tc>
      </w:tr>
    </w:tbl>
    <w:p>
      <w:pPr>
        <w:pStyle w:val="Normal"/>
        <w:ind w:left="1559" w:hanging="851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851" w:hanging="851"/>
        <w:rPr/>
      </w:pPr>
      <w:r>
        <w:rPr>
          <w:rStyle w:val="SubtleEmphasis"/>
          <w:b/>
          <w:bCs/>
        </w:rPr>
        <w:t>Pótlási lehetőségek módja, típusa</w:t>
      </w:r>
      <w:r>
        <w:rPr/>
        <w:t xml:space="preserve"> </w:t>
      </w:r>
      <w:r>
        <w:rPr>
          <w:sz w:val="16"/>
          <w:szCs w:val="16"/>
        </w:rPr>
        <w:t>(PTE TVSz 47§(4))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Az érdemjegy kialakításának módja %-os bontásban </w:t>
      </w:r>
    </w:p>
    <w:p>
      <w:pPr>
        <w:pStyle w:val="Normal"/>
        <w:ind w:left="1559" w:hanging="851"/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t>Az összesített teljesítmény alapján az alábbi szerint.</w:t>
      </w:r>
    </w:p>
    <w:p>
      <w:pPr>
        <w:pStyle w:val="Heading6"/>
        <w:rPr/>
      </w:pPr>
      <w:r>
        <w:rPr/>
      </w:r>
    </w:p>
    <w:tbl>
      <w:tblPr>
        <w:tblStyle w:val="GridTableLight"/>
        <w:tblW w:w="5245" w:type="dxa"/>
        <w:jc w:val="left"/>
        <w:tblInd w:w="1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70 %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55 %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... 55 %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IntenseQuote"/>
        <w:ind w:left="1440" w:right="1440" w:hanging="1440"/>
        <w:rPr>
          <w:sz w:val="22"/>
          <w:szCs w:val="22"/>
        </w:rPr>
      </w:pPr>
      <w:r>
        <w:rPr>
          <w:sz w:val="22"/>
          <w:szCs w:val="22"/>
        </w:rPr>
        <w:t xml:space="preserve">Vizsgával záruló tantárgy 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vizsgára bocsájtás feltételének minősítésben </w:t>
      </w:r>
    </w:p>
    <w:p>
      <w:pPr>
        <w:pStyle w:val="Normal"/>
        <w:ind w:left="1559" w:hanging="851"/>
        <w:rPr>
          <w:rStyle w:val="SubtleEmphasis"/>
          <w:b/>
          <w:b/>
          <w:bCs/>
          <w:sz w:val="16"/>
          <w:szCs w:val="16"/>
        </w:rPr>
      </w:pP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GridTable1Light"/>
        <w:tblW w:w="8500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68"/>
        <w:gridCol w:w="1648"/>
        <w:gridCol w:w="19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648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 xml:space="preserve">Részarány </w:t>
            </w:r>
            <w:bookmarkStart w:id="1" w:name="_Hlk108820255"/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a vizsgára bocsájtás feltételének minősítésben</w:t>
            </w:r>
            <w:bookmarkEnd w:id="1"/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315" w:hanging="270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1. ZH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20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20 %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2. ZH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30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30 %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pl.: beadandó hf (projekt dokumentáció)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30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30 %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max 15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pl. 20 %</w:t>
            </w:r>
          </w:p>
        </w:tc>
      </w:tr>
    </w:tbl>
    <w:p>
      <w:pPr>
        <w:pStyle w:val="Normal"/>
        <w:ind w:left="426" w:hanging="0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rStyle w:val="SubtleEmphasis"/>
          <w:b/>
          <w:bCs/>
        </w:rPr>
        <w:t>Az aláírás megszerzésének feltétele</w:t>
      </w:r>
      <w:r>
        <w:rPr>
          <w:b/>
          <w:bCs/>
          <w:i/>
          <w:iCs/>
        </w:rPr>
        <w:t xml:space="preserve"> </w:t>
      </w:r>
    </w:p>
    <w:p>
      <w:pPr>
        <w:pStyle w:val="Normal"/>
        <w:ind w:left="851" w:hanging="142"/>
        <w:rPr>
          <w:rStyle w:val="SubtleEmphasis"/>
          <w:sz w:val="16"/>
          <w:szCs w:val="16"/>
        </w:rPr>
      </w:pPr>
      <w:r>
        <w:rPr>
          <w:sz w:val="16"/>
          <w:szCs w:val="16"/>
        </w:rPr>
        <w:t>(Pl.:  40%-os évközi minősítés.)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426" w:hanging="0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Style w:val="SubtleEmphasis"/>
          <w:b/>
          <w:bCs/>
        </w:rPr>
        <w:t>Pótlási lehetőségek az aláírás megszerzéséhez</w:t>
      </w:r>
      <w:r>
        <w:rPr>
          <w:b/>
          <w:bCs/>
        </w:rPr>
        <w:t xml:space="preserve"> </w:t>
      </w:r>
      <w:r>
        <w:rPr>
          <w:sz w:val="16"/>
          <w:szCs w:val="16"/>
        </w:rPr>
        <w:t>(PTE TVSz 50§(2))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>
          <w:i/>
          <w:i/>
          <w:iCs/>
          <w:shd w:fill="FFFF00" w:val="clear"/>
        </w:rPr>
      </w:pPr>
      <w:r>
        <w:rPr>
          <w:b/>
          <w:bCs/>
          <w:i/>
          <w:iCs/>
        </w:rPr>
        <w:t>Vizsga típusa</w:t>
      </w:r>
      <w:r>
        <w:rPr>
          <w:i/>
          <w:iCs/>
        </w:rPr>
        <w:t xml:space="preserve"> (írásbeli, szóbeli): </w:t>
      </w:r>
      <w:r>
        <w:rPr>
          <w:i/>
          <w:iCs/>
          <w:highlight w:val="lightGray"/>
          <w:shd w:fill="FFFF00" w:val="clear"/>
        </w:rPr>
        <w:t>…mindkettő………………………….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vizsga minimum  </w:t>
      </w:r>
      <w:r>
        <w:rPr>
          <w:b/>
          <w:bCs/>
          <w:i/>
          <w:iCs/>
          <w:shd w:fill="DFDFDF" w:val="clear"/>
        </w:rPr>
        <w:t xml:space="preserve"> …   5   </w:t>
      </w:r>
      <w:r>
        <w:rPr>
          <w:b/>
          <w:bCs/>
          <w:i/>
          <w:iCs/>
        </w:rPr>
        <w:t xml:space="preserve">%-os teljesítés esetén sikeres. </w:t>
      </w:r>
      <w:r>
        <w:rPr>
          <w:i/>
          <w:iCs/>
          <w:sz w:val="16"/>
          <w:szCs w:val="16"/>
        </w:rPr>
        <w:t>(A min. 40 %-nál nem lehet több.)</w:t>
      </w:r>
    </w:p>
    <w:p>
      <w:pPr>
        <w:pStyle w:val="Normal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Az érdemjegy kialakítása </w:t>
      </w:r>
      <w:r>
        <w:rPr>
          <w:rStyle w:val="SubtleEmphasis"/>
          <w:sz w:val="16"/>
          <w:szCs w:val="16"/>
        </w:rPr>
        <w:t>(TVSz 47§ (3))</w:t>
      </w:r>
    </w:p>
    <w:p>
      <w:pPr>
        <w:pStyle w:val="Normal"/>
        <w:ind w:left="708" w:hanging="0"/>
        <w:rPr/>
      </w:pPr>
      <w:r>
        <w:rPr>
          <w:b/>
          <w:bCs/>
          <w:i/>
          <w:iCs/>
          <w:shd w:fill="DFDFDF" w:val="clear"/>
        </w:rPr>
        <w:t xml:space="preserve">   …      </w:t>
      </w:r>
      <w:r>
        <w:rPr>
          <w:shd w:fill="DFDFDF" w:val="clear"/>
        </w:rPr>
        <w:t xml:space="preserve"> </w:t>
      </w:r>
      <w:r>
        <w:rPr/>
        <w:t xml:space="preserve">%-ban az évközi teljesítmény, </w:t>
      </w:r>
      <w:r>
        <w:rPr>
          <w:b/>
          <w:bCs/>
          <w:i/>
          <w:iCs/>
          <w:shd w:fill="DFDFDF" w:val="clear"/>
        </w:rPr>
        <w:t xml:space="preserve">  …       </w:t>
      </w:r>
      <w:r>
        <w:rPr/>
        <w:t xml:space="preserve"> %-ban a vizsgán nyújtott teljesítmény alapján történik.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>Az érdemjegy megállapítása az összesített teljesítmény alapján %-os bontásban</w:t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b/>
          <w:bCs/>
        </w:rPr>
      </w:r>
    </w:p>
    <w:tbl>
      <w:tblPr>
        <w:tblStyle w:val="GridTableLight"/>
        <w:tblW w:w="5245" w:type="dxa"/>
        <w:jc w:val="left"/>
        <w:tblInd w:w="1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70 %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60 % ...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50 % ... 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50%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ind w:left="851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4"/>
        </w:numPr>
        <w:rPr>
          <w:b/>
          <w:b/>
          <w:bCs/>
        </w:rPr>
      </w:pPr>
      <w:r>
        <w:rPr>
          <w:b/>
          <w:bCs/>
        </w:rPr>
        <w:t>Irodalom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>Kötelező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[1</w:t>
      </w:r>
      <w:r>
        <w:rPr>
          <w:lang w:val="en-US"/>
        </w:rPr>
        <w:t>:    Dr. Csáki Frigyes Bars Ruth Automatika Műszaki Könyvkiadó</w:t>
      </w:r>
    </w:p>
    <w:p>
      <w:pPr>
        <w:pStyle w:val="Normal"/>
        <w:rPr>
          <w:rStyle w:val="SubtleEmphasis"/>
          <w:b/>
          <w:b/>
          <w:bCs/>
        </w:rPr>
      </w:pPr>
      <w:r>
        <w:rPr>
          <w:rFonts w:cs="Calibri" w:cstheme="minorHAnsi"/>
        </w:rPr>
        <w:t>[2.] Dr. Juhász Pál: Irányítástechnika III. Segédlet, PMMK</w:t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>Ajánlott irodalom és elérhetősége</w:t>
      </w:r>
    </w:p>
    <w:p>
      <w:pPr>
        <w:pStyle w:val="Heading5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[3.] ……Dr. Tuschák Róbert: Mintavételező rendszerek BME jegyzet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[4.] ……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[5.] ……</w:t>
      </w:r>
    </w:p>
    <w:p>
      <w:pPr>
        <w:pStyle w:val="Normal"/>
        <w:spacing w:before="200" w:after="0"/>
        <w:rPr/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26280979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CmChar" w:customStyle="1">
    <w:name w:val="Cím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Alcm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incstrkzChar"/>
    <w:uiPriority w:val="1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6546-2A7B-461E-91AB-B1DDFA9F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LibreOffice/7.3.6.2$Linux_X86_64 LibreOffice_project/30$Build-2</Application>
  <AppVersion>15.0000</AppVersion>
  <Pages>5</Pages>
  <Words>863</Words>
  <Characters>5836</Characters>
  <CharactersWithSpaces>6522</CharactersWithSpaces>
  <Paragraphs>202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2022-09-25T21:16:00Z</dcterms:created>
  <dc:creator>JAI</dc:creator>
  <dc:description/>
  <dc:language>en-US</dc:language>
  <cp:lastModifiedBy/>
  <dcterms:modified xsi:type="dcterms:W3CDTF">2022-09-27T10:35:14Z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