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1.sz. Melléklet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Ajánlott minta: „Tantárgyleírás, tantárgyi tematika és teljesítési követelmények”</w:t>
      </w:r>
    </w:p>
    <w:p>
      <w:pPr>
        <w:pStyle w:val="Heading1"/>
        <w:shd w:val="clear" w:color="auto" w:fill="C7C7C7" w:themeFill="accent1" w:themeFillShade="e6"/>
        <w:rPr>
          <w:lang w:val="en-US"/>
        </w:rPr>
      </w:pPr>
      <w:r>
        <w:rPr/>
        <w:t xml:space="preserve">Tantárgyi tematika és teljesítési követelmények </w:t>
        <w:br/>
      </w:r>
      <w:r>
        <w:rPr>
          <w:lang w:val="en-US"/>
        </w:rPr>
        <w:t>2022/2023 I félév</w:t>
      </w:r>
    </w:p>
    <w:tbl>
      <w:tblPr>
        <w:tblStyle w:val="Tblzatrcsos7tarka1"/>
        <w:tblW w:w="4850" w:type="pct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24"/>
        <w:gridCol w:w="65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Cím</w:t>
            </w:r>
          </w:p>
        </w:tc>
        <w:tc>
          <w:tcPr>
            <w:tcW w:w="6527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" w:cs="" w:ascii="Calibri Light" w:hAnsi="Calibri Light" w:asciiTheme="majorHAnsi" w:hAnsiTheme="majorHAnsi"/>
                <w:b w:val="false"/>
                <w:bCs/>
                <w:i/>
                <w:iCs/>
                <w:color w:val="auto"/>
                <w:kern w:val="0"/>
                <w:sz w:val="24"/>
                <w:szCs w:val="24"/>
                <w:lang w:val="hu-HU" w:eastAsia="en-US" w:bidi="ar-SA"/>
              </w:rPr>
              <w:t>Villamos biztonságtechnika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Tárgykód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IVB457MN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Heti óraszám: ea/gy/lab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2 ea, 0 gy, 1 lab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Kreditpont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2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Szak(ok)/ típus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Villamosmérnök, alapszak (BSc)/SZ; a duális vill.mérnöki szak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Tagozat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Cs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 w:val="false"/>
                <w:color w:val="auto"/>
                <w:kern w:val="0"/>
                <w:sz w:val="20"/>
                <w:szCs w:val="20"/>
                <w:lang w:val="hu-HU" w:eastAsia="en-US" w:bidi="ar-SA"/>
              </w:rPr>
              <w:t>Nappali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Követelmény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f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Meghirdetés féléve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Őszi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Előzetes követelmény(ek)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Villamos energetika 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 tanszék(ek)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Villamosenergetikai tanszék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 xml:space="preserve">Tárgyfelelős 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Dr Kvasznicza Zoltán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Oktatók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Farpék Gábor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" w:cs="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6527" w:type="dxa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" w:cs="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>
        <w:rPr/>
        <w:t>Tárgyleírás</w:t>
      </w:r>
    </w:p>
    <w:p>
      <w:pPr>
        <w:pStyle w:val="Normal"/>
        <w:suppressAutoHyphens w:val="true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color="auto" w:fill="DFDFDF" w:themeFill="background2" w:themeFillShade="e6"/>
        <w:rPr/>
      </w:pPr>
      <w:r>
        <w:rPr/>
        <w:t>Villamos berendezések érintésvédelme/áramütés elleni védelme, valamint tűz elleni védekezés jogi és szabványi követelményei. Üzembehelyezéssel és üzemeltetés során a villamos biztonsági szint megtartására vonatkozó előírások. MSZ HD 60364 sorozat Épületek villamos berendezéseinek létesítése: Áramütés elleni védelem, Túláram védelem, Villamos szerkezetek kiválasztása, Kábel és vezeték rendszerek kiválasztása, Földelő berendezések és védővezetők, Ellenőrzés. 54/2014. (XII. 5.) BM rendelet az Országos Tűzvédelmi Szabályzatról. Villamos berendezések, villámvédelem és elektrosztatikus feltöltődés elleni védelem TvMI. 40/2017. (XII. 4.) NGM rendelet az összekötő és felhasználói berendezésekről, valamint a potenciálisan robbanásveszélyes közegben működő villamos berendezésekről és védelmi rendszerekről.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suppressAutoHyphens w:val="true"/>
        <w:rPr>
          <w:i/>
          <w:i/>
          <w:iCs/>
        </w:rPr>
      </w:pPr>
      <w:r>
        <w:rPr>
          <w:i/>
          <w:iCs/>
        </w:rPr>
      </w:r>
    </w:p>
    <w:p>
      <w:pPr>
        <w:pStyle w:val="Heading1"/>
        <w:shd w:val="clear" w:color="auto" w:fill="C7C7C7" w:themeFill="accent1" w:themeFillShade="e6"/>
        <w:rPr>
          <w:lang w:val="en-US"/>
        </w:rPr>
      </w:pPr>
      <w:r>
        <w:rPr>
          <w:lang w:val="en-US"/>
        </w:rPr>
        <w:t>Tárgytematika</w:t>
      </w:r>
    </w:p>
    <w:p>
      <w:pPr>
        <w:pStyle w:val="Normal"/>
        <w:rPr>
          <w:lang w:val="en-US"/>
        </w:rPr>
      </w:pPr>
      <w:r>
        <w:rPr>
          <w:i/>
          <w:iCs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5"/>
        </w:numPr>
        <w:rPr>
          <w:rFonts w:ascii="Times New Roman" w:hAnsi="Times New Roman"/>
          <w:b/>
          <w:b/>
          <w:bCs/>
        </w:rPr>
      </w:pPr>
      <w:r>
        <w:rPr>
          <w:b/>
          <w:bCs/>
          <w:lang w:val="en-US"/>
        </w:rPr>
        <w:t>Az oktatás célja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  <w:t>A tantárgy célkitűzése, hogy a hallgató elméleti szinten megismerkedjen a villamos biztonságtechnikával, a vonatkozó jogi és szabványi előírásokkal. A villamos berendezések megfelelőségének ellenőrzésére szolgáló gyakorlati mérési ismereteket szerezzen.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5"/>
        </w:numPr>
        <w:rPr>
          <w:b/>
          <w:b/>
          <w:bCs/>
        </w:rPr>
      </w:pPr>
      <w:r>
        <w:rPr>
          <w:b/>
          <w:bCs/>
        </w:rPr>
        <w:t>A tantárgy tartalma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Style w:val="Tblzategyszer3"/>
        <w:tblW w:w="10348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42"/>
        <w:gridCol w:w="850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caps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8505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Témakörök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Előadás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Hálózatok áramütés védelmi szempontból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MSZ HD 60364 szabványsorozat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Megfelelőség ellenőrzése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Áramütés elleni védelem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Túláram védelem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Védelmi mód táplálás önműködő lekapcsolása kioldószerv minősítése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caps w:val="false"/>
                <w:smallCap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Labor-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TN-C-S; TT; IT hálózat mérései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Földelés ellenállás mérés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Kábel szigetelés ellenállás mérés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Energia mérési módok 4 térnegyedben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jc w:val="center"/>
        <w:rPr>
          <w:b/>
          <w:b/>
          <w:bCs/>
          <w:highlight w:val="green"/>
        </w:rPr>
      </w:pPr>
      <w:r>
        <w:rPr>
          <w:b/>
          <w:bCs/>
          <w:highlight w:val="green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3"/>
        <w:rPr>
          <w:b/>
          <w:b/>
          <w:bCs/>
        </w:rPr>
      </w:pPr>
      <w:r>
        <w:rPr>
          <w:b/>
          <w:bCs/>
        </w:rPr>
        <w:t>Részletes tantárgyi program és a követelmények ütemezése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Jelezzük az oktatási szüneteket is!</w:t>
      </w:r>
    </w:p>
    <w:p>
      <w:pPr>
        <w:pStyle w:val="Normal"/>
        <w:rPr/>
      </w:pPr>
      <w:r>
        <w:rPr/>
      </w:r>
    </w:p>
    <w:tbl>
      <w:tblPr>
        <w:tblStyle w:val="Tblzatrcsos7tarka1"/>
        <w:tblW w:w="10350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11"/>
        <w:gridCol w:w="3827"/>
        <w:gridCol w:w="1984"/>
        <w:gridCol w:w="1842"/>
        <w:gridCol w:w="198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0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 xml:space="preserve">ELŐADÁS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rPr>
                <w:rFonts w:cs="Calibri" w:cstheme="minorHAnsi"/>
                <w:b/>
                <w:b/>
                <w:bCs/>
                <w:cap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Kötelező irodalom hivatkozás, 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Jogszabályok, szabványok felépítése értelmezése. Alapfogalmak. Források megismerése.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  <w:tab/>
              <w:t>MSZ HD 60364 szabvány sorozat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Érintésvédelmi felülvizsgálók kézikönyv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MSZ HD 60364-4-41:2007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előadás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Áramütés elleni védelem: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  <w:tab/>
              <w:t>Védelem a táplálás önműködő lekapcsolásával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  <w:tab/>
              <w:t>Védelem kioldó szerve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MSZ HD 60364-4-41:2018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előadás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Áramütés elleni védelem: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  <w:tab/>
              <w:t>Kettős szigetelés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  <w:tab/>
              <w:t>Villamos elválasztás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MSZ 4851-5:1991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Érintésvédelmi felülvizsgálók kézikönyv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előadás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Áramütés elleni védelem: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  <w:tab/>
              <w:t>SELV PELV törpefeszöltség alkalmazása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  <w:tab/>
              <w:t>Kiegészítő védelmek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MSZ 4851-5:1991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Érintésvédelmi felülvizsgálók kézikönyv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előadás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Túláram védelem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MSZ 4851-5:1991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Erősáramú berendezések felülvizsgálóinak kézikönyve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előadás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Villamos szerkezetek kiválasztása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Kábel és vezeték rendszerek kiválasztása Földelő berendezések és védővezetők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Erősáramú berendezések felülvizsgálóinak kézikönyve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előadás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Ellenőrzés, Megfelelőség minősítése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MSZ HD 60364 szabvány sorozat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előadás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Őszi szünet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Erősáramú berendezések vizsgálata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Erősáramú berendezések felülvizsgálóinak kézikönyve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előadás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54/2014. (XII. 5.) BM rendelet az Országos Tűzvédelmi Szabályzatról.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Téma megnevezésével azonos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előadás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Villamos berendezések, villámvédelem és elektrosztatikus feltöltődés elleni védelem TvMI.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Téma megnevezésével azonos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előadás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40/2017. (XII. 4.) NGM rendelet az összekötő és felhasználói berendezésekről, valamint a potenciálisan robbanásveszélyes közegben működő villamos berendezésekről és védelmi rendszerekről.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Téma megnevezésével azonos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előadás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Kisfeszültségű villamos berendezések időszakos (tűzvédelmi) ellenőrzése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Téma megnevezésével azonos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előadás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MSZ 1585:2016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Téma megnevezésével azonos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előadás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Pótlás, félév lezárása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blzatrcsos7tarka1"/>
        <w:tblW w:w="10348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3"/>
        <w:gridCol w:w="3832"/>
        <w:gridCol w:w="1986"/>
        <w:gridCol w:w="1842"/>
        <w:gridCol w:w="19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caps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ap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Gyakorlat/Laborgyakorlat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Munkavédelem. Mérési biztonsági szabályok megismerése, Univerzális érintés védelmi műszer megismerése.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ÉV próbapad megismerése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Mérési jegyzőkönyv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labor gyakorlatra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TN-C-S; TT; IT hálózat mérései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  <w:tab/>
              <w:t>Folytonosság mérés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  <w:tab/>
              <w:t>Szigetelési ellenállás mérése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Mérési jegyzőkönyv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labor gyakorlatra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TN-C-S; TT; IT hálózat mérései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  <w:tab/>
              <w:t>Hurokimpedancia mérése, kioldó szerv minősítése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Mérési jegyzőkönyv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labor gyakorlatra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Áramvédő kapcsoló mérése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Mérési jegyzőkönyv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labor gyakorlatra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Földelés ellenállás mérési módok megismerése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Mérési jegyzőkönyv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labor gyakorlatra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Kábelek szigetelési ellenállás mérése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Mérési jegyzőkönyv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labor gyakorlatra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Energia mérési módok 4 térnegyedben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Mérési jegyzőkönyv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következő labor gyakorlatra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5"/>
        </w:numPr>
        <w:rPr>
          <w:b/>
          <w:b/>
          <w:bCs/>
          <w:lang w:val="en-US"/>
        </w:rPr>
      </w:pPr>
      <w:r>
        <w:rPr>
          <w:b/>
          <w:bCs/>
          <w:lang w:val="en-US"/>
        </w:rPr>
        <w:t>Számonkérési és értékelési rendszer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iCs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jelenlét ellenőrzésének módja </w:t>
      </w:r>
      <w:r>
        <w:rPr>
          <w:i/>
          <w:iCs/>
          <w:sz w:val="16"/>
          <w:szCs w:val="16"/>
        </w:rPr>
        <w:t>(pl.: jelenléti ív / online teszt/ jegyzőkönyv, stb.)</w:t>
      </w:r>
    </w:p>
    <w:p>
      <w:pPr>
        <w:pStyle w:val="Normal"/>
        <w:shd w:val="clear" w:color="auto" w:fill="DFDFDF" w:themeFill="background2" w:themeFillShade="e6"/>
        <w:rPr/>
      </w:pPr>
      <w:r>
        <w:rPr/>
        <w:t>Zárt helyi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keepNext w:val="true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Számonkérések </w:t>
      </w:r>
    </w:p>
    <w:p>
      <w:pPr>
        <w:pStyle w:val="Normal"/>
        <w:keepNext w:val="true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IntenseQuote"/>
        <w:ind w:left="1440" w:right="1440" w:hanging="1440"/>
        <w:rPr>
          <w:sz w:val="22"/>
          <w:szCs w:val="22"/>
        </w:rPr>
      </w:pPr>
      <w:r>
        <w:rPr>
          <w:sz w:val="22"/>
          <w:szCs w:val="22"/>
        </w:rPr>
        <w:t xml:space="preserve">Félévközi jeggyel záruló tantárgy </w:t>
      </w:r>
      <w:r>
        <w:rPr>
          <w:b w:val="false"/>
          <w:bCs w:val="false"/>
          <w:sz w:val="22"/>
          <w:szCs w:val="22"/>
        </w:rPr>
        <w:t>(PTE TVSz 40§(3))</w:t>
      </w:r>
    </w:p>
    <w:p>
      <w:pPr>
        <w:pStyle w:val="Normal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minősítésben </w:t>
      </w:r>
      <w:r>
        <w:rPr>
          <w:rStyle w:val="SubtleEmphasis"/>
          <w:sz w:val="16"/>
          <w:szCs w:val="16"/>
        </w:rPr>
        <w:t>(A táblázat példái törlendők.)</w:t>
      </w:r>
    </w:p>
    <w:tbl>
      <w:tblPr>
        <w:tblStyle w:val="Tblzatrcsosvilgos"/>
        <w:tblW w:w="8500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68"/>
        <w:gridCol w:w="1507"/>
        <w:gridCol w:w="2125"/>
      </w:tblGrid>
      <w:tr>
        <w:trPr/>
        <w:tc>
          <w:tcPr>
            <w:tcW w:w="48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Típus</w:t>
            </w:r>
          </w:p>
        </w:tc>
        <w:tc>
          <w:tcPr>
            <w:tcW w:w="15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Értékelés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Részarány a minősítésben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45" w:hanging="0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10 db ZH</w:t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10 x 5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50 %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Labor mérésekről jegyzőkönyv készítése</w:t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50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50 %</w:t>
            </w:r>
          </w:p>
        </w:tc>
      </w:tr>
    </w:tbl>
    <w:p>
      <w:pPr>
        <w:pStyle w:val="Normal"/>
        <w:ind w:left="1559" w:hanging="851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851" w:hanging="851"/>
        <w:rPr/>
      </w:pPr>
      <w:r>
        <w:rPr>
          <w:rStyle w:val="SubtleEmphasis"/>
          <w:b/>
          <w:bCs/>
        </w:rPr>
        <w:t>Pótlási lehetőségek módja, típusa</w:t>
      </w:r>
      <w:r>
        <w:rPr/>
        <w:t xml:space="preserve"> </w:t>
      </w:r>
      <w:r>
        <w:rPr>
          <w:sz w:val="16"/>
          <w:szCs w:val="16"/>
        </w:rPr>
        <w:t>(PTE TVSz 47§(4))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>
      <w:pPr>
        <w:pStyle w:val="Normal"/>
        <w:shd w:val="clear" w:color="auto" w:fill="DFDFDF" w:themeFill="background2" w:themeFillShade="e6"/>
        <w:rPr/>
      </w:pPr>
      <w:r>
        <w:rPr/>
        <w:t>A meg nem írt valamint a megírt de a jelestől eltérő eredményű zárthelyi dolgozat pótolható/javítható az utolsó oktatási héten és a vizsgaidőszak első két hetében.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Az érdemjegy kialakításának módja %-os bontásban </w:t>
      </w:r>
    </w:p>
    <w:p>
      <w:pPr>
        <w:pStyle w:val="Normal"/>
        <w:ind w:left="1559" w:hanging="851"/>
        <w:rPr>
          <w:rStyle w:val="SubtleEmphasis"/>
          <w:sz w:val="16"/>
          <w:szCs w:val="16"/>
        </w:rPr>
      </w:pPr>
      <w:r>
        <w:rPr>
          <w:rStyle w:val="SubtleEmphasis"/>
          <w:sz w:val="16"/>
          <w:szCs w:val="16"/>
        </w:rPr>
        <w:t>Az összesített teljesítmény alapján az alábbi szerint.</w:t>
      </w:r>
    </w:p>
    <w:p>
      <w:pPr>
        <w:pStyle w:val="Heading6"/>
        <w:rPr/>
      </w:pPr>
      <w:r>
        <w:rPr/>
      </w:r>
    </w:p>
    <w:tbl>
      <w:tblPr>
        <w:tblStyle w:val="Tblzatrcsosvilgos"/>
        <w:tblW w:w="5245" w:type="dxa"/>
        <w:jc w:val="left"/>
        <w:tblInd w:w="1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90 %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80 % ... 90 %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70 % ... 80 %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60 % ... 70 %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60 %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IntenseQuote"/>
        <w:ind w:left="1440" w:right="1440" w:hanging="1440"/>
        <w:rPr>
          <w:sz w:val="22"/>
          <w:szCs w:val="22"/>
        </w:rPr>
      </w:pPr>
      <w:r>
        <w:rPr>
          <w:sz w:val="22"/>
          <w:szCs w:val="22"/>
        </w:rPr>
        <w:t xml:space="preserve">Vizsgával záruló tantárgy 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vizsgára bocsájtás feltételének minősítésben </w:t>
      </w:r>
    </w:p>
    <w:p>
      <w:pPr>
        <w:pStyle w:val="Normal"/>
        <w:ind w:left="1559" w:hanging="851"/>
        <w:rPr>
          <w:rStyle w:val="SubtleEmphasis"/>
          <w:b/>
          <w:b/>
          <w:bCs/>
          <w:sz w:val="16"/>
          <w:szCs w:val="16"/>
        </w:rPr>
      </w:pPr>
      <w:r>
        <w:rPr>
          <w:rStyle w:val="SubtleEmphasis"/>
          <w:sz w:val="16"/>
          <w:szCs w:val="16"/>
        </w:rPr>
        <w:t>(A táblázat példái törlendők.)</w:t>
      </w:r>
    </w:p>
    <w:tbl>
      <w:tblPr>
        <w:tblStyle w:val="Tblzatrcsos1vilgos"/>
        <w:tblW w:w="8500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68"/>
        <w:gridCol w:w="1648"/>
        <w:gridCol w:w="19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Típus</w:t>
            </w:r>
          </w:p>
        </w:tc>
        <w:tc>
          <w:tcPr>
            <w:tcW w:w="1648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Értékelés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 xml:space="preserve">Részarány </w:t>
            </w:r>
            <w:bookmarkStart w:id="2" w:name="_Hlk108820255"/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a vizsgára bocsájtás feltételének minősítésben</w:t>
            </w:r>
            <w:bookmarkEnd w:id="2"/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315" w:hanging="270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pl.: 1. ZH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20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20 %</w:t>
            </w:r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pl.: 2. ZH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30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30 %</w:t>
            </w:r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pl.: beadandó hf (projekt dokumentáció)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30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30 %</w:t>
            </w:r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15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20 %</w:t>
            </w:r>
          </w:p>
        </w:tc>
      </w:tr>
    </w:tbl>
    <w:p>
      <w:pPr>
        <w:pStyle w:val="Normal"/>
        <w:ind w:left="426" w:hanging="0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rStyle w:val="SubtleEmphasis"/>
          <w:b/>
          <w:bCs/>
        </w:rPr>
        <w:t>Az aláírás megszerzésének feltétele</w:t>
      </w:r>
      <w:r>
        <w:rPr>
          <w:b/>
          <w:bCs/>
          <w:i/>
          <w:iCs/>
        </w:rPr>
        <w:t xml:space="preserve"> </w:t>
      </w:r>
    </w:p>
    <w:p>
      <w:pPr>
        <w:pStyle w:val="Normal"/>
        <w:ind w:left="851" w:hanging="142"/>
        <w:rPr>
          <w:rStyle w:val="SubtleEmphasis"/>
          <w:sz w:val="16"/>
          <w:szCs w:val="16"/>
        </w:rPr>
      </w:pPr>
      <w:r>
        <w:rPr>
          <w:sz w:val="16"/>
          <w:szCs w:val="16"/>
        </w:rPr>
        <w:t>(Pl.:  40%-os évközi minősítés.)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ind w:left="426" w:hanging="0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Style w:val="SubtleEmphasis"/>
          <w:b/>
          <w:bCs/>
        </w:rPr>
        <w:t>Pótlási lehetőségek az aláírás megszerzéséhez</w:t>
      </w:r>
      <w:r>
        <w:rPr>
          <w:b/>
          <w:bCs/>
        </w:rPr>
        <w:t xml:space="preserve"> </w:t>
      </w:r>
      <w:r>
        <w:rPr>
          <w:sz w:val="16"/>
          <w:szCs w:val="16"/>
        </w:rPr>
        <w:t>(PTE TVSz 50§(2))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javításra, ismétlésre és pótlásra vonatkozó különös szabályokat a TVSZ általános szabályaival együttesen kell értelmezni és alkalmazni: 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>
          <w:i/>
          <w:i/>
          <w:iCs/>
          <w:shd w:fill="FFFF00" w:val="clear"/>
        </w:rPr>
      </w:pPr>
      <w:r>
        <w:rPr>
          <w:b/>
          <w:bCs/>
          <w:i/>
          <w:iCs/>
        </w:rPr>
        <w:t>Vizsga típusa</w:t>
      </w:r>
      <w:r>
        <w:rPr>
          <w:i/>
          <w:iCs/>
        </w:rPr>
        <w:t xml:space="preserve"> (írásbeli, szóbeli): </w:t>
      </w:r>
      <w:r>
        <w:rPr>
          <w:i/>
          <w:iCs/>
          <w:highlight w:val="lightGray"/>
          <w:shd w:fill="FFFF00" w:val="clear"/>
        </w:rPr>
        <w:t>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vizsga minimum  </w:t>
      </w:r>
      <w:r>
        <w:rPr>
          <w:b/>
          <w:bCs/>
          <w:i/>
          <w:iCs/>
          <w:shd w:fill="DFDFDF" w:val="clear"/>
        </w:rPr>
        <w:t xml:space="preserve"> …      </w:t>
      </w:r>
      <w:r>
        <w:rPr>
          <w:b/>
          <w:bCs/>
          <w:i/>
          <w:iCs/>
        </w:rPr>
        <w:t xml:space="preserve">%-os teljesítés esetén sikeres. </w:t>
      </w:r>
      <w:r>
        <w:rPr>
          <w:i/>
          <w:iCs/>
          <w:sz w:val="16"/>
          <w:szCs w:val="16"/>
        </w:rPr>
        <w:t>(A min. 40 %-nál nem lehet több.)</w:t>
      </w:r>
    </w:p>
    <w:p>
      <w:pPr>
        <w:pStyle w:val="Normal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Az érdemjegy kialakítása </w:t>
      </w:r>
      <w:r>
        <w:rPr>
          <w:rStyle w:val="SubtleEmphasis"/>
          <w:sz w:val="16"/>
          <w:szCs w:val="16"/>
        </w:rPr>
        <w:t>(TVSz 47§ (3))</w:t>
      </w:r>
    </w:p>
    <w:p>
      <w:pPr>
        <w:pStyle w:val="Normal"/>
        <w:ind w:left="708" w:hanging="0"/>
        <w:rPr/>
      </w:pPr>
      <w:r>
        <w:rPr>
          <w:b/>
          <w:bCs/>
          <w:i/>
          <w:iCs/>
          <w:shd w:fill="DFDFDF" w:val="clear"/>
        </w:rPr>
        <w:t xml:space="preserve">   …      </w:t>
      </w:r>
      <w:r>
        <w:rPr>
          <w:shd w:fill="DFDFDF" w:val="clear"/>
        </w:rPr>
        <w:t xml:space="preserve"> </w:t>
      </w:r>
      <w:r>
        <w:rPr/>
        <w:t xml:space="preserve">%-ban az évközi teljesítmény, </w:t>
      </w:r>
      <w:r>
        <w:rPr>
          <w:b/>
          <w:bCs/>
          <w:i/>
          <w:iCs/>
          <w:shd w:fill="DFDFDF" w:val="clear"/>
        </w:rPr>
        <w:t xml:space="preserve">  …       </w:t>
      </w:r>
      <w:r>
        <w:rPr/>
        <w:t xml:space="preserve"> %-ban a vizsgán nyújtott teljesítmény alapján történik.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>Az érdemjegy megállapítása az összesített teljesítmény alapján %-os bontásban</w:t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b/>
          <w:bCs/>
        </w:rPr>
      </w:r>
    </w:p>
    <w:tbl>
      <w:tblPr>
        <w:tblStyle w:val="Tblzatrcsosvilgos"/>
        <w:tblW w:w="5245" w:type="dxa"/>
        <w:jc w:val="left"/>
        <w:tblInd w:w="1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85 %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70 %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55 % ... 70 %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... 55 %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Normal"/>
        <w:ind w:left="851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5"/>
        </w:numPr>
        <w:rPr>
          <w:b/>
          <w:b/>
          <w:bCs/>
        </w:rPr>
      </w:pPr>
      <w:r>
        <w:rPr>
          <w:b/>
          <w:bCs/>
        </w:rPr>
        <w:t>Irodalom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>Kötelező irodalom és elérhetősége</w:t>
      </w:r>
    </w:p>
    <w:p>
      <w:pPr>
        <w:pStyle w:val="Normal"/>
        <w:rPr>
          <w:rStyle w:val="SubtleEmphasis"/>
          <w:b/>
          <w:b/>
          <w:bCs/>
        </w:rPr>
      </w:pPr>
      <w:r>
        <w:rPr>
          <w:rFonts w:cs="Calibri" w:cstheme="minorHAnsi"/>
        </w:rPr>
        <w:t>[1.] -</w:t>
        <w:tab/>
        <w:t>Elektronikus jegyzet -Teams felületen feltöltött fájlok</w:t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>Ajánlott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-</w:t>
        <w:tab/>
        <w:t>Erősáramú berendezések felülvizsgálóinak kézikönyve – (2019-es kiadás)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-</w:t>
        <w:tab/>
        <w:t>Érintésvédelmi felülvizsgálók kézikönyve (2019-es kiadás)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-</w:t>
        <w:tab/>
        <w:t>MSZ HD 60364 szabvány sorozat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-</w:t>
        <w:tab/>
        <w:t>40/2017. (XII. 4.) NGM rendelet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-</w:t>
        <w:tab/>
        <w:t>54/2014. (XII. 5.) BM rendelet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-</w:t>
        <w:tab/>
        <w:t>MSZ 1585:2016 Villamos berendezések üzemeltetése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-</w:t>
        <w:tab/>
        <w:t>MSZ 447:2019 Kisfeszültségű, közcélú elosztóhálózatra való csatlakoztatás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-</w:t>
        <w:tab/>
        <w:t>MSZ 10900:2009 Kisfeszültségű villamos berendezések időszakos (tűzvédelmi) ellenőrzése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-</w:t>
        <w:tab/>
        <w:t>MSZ 4851-5:1991 Érintésvédelmi vizsgálati módszerek. Védővezető nélküli érintésvédelmi módok vizsgálati módszerei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-</w:t>
        <w:tab/>
        <w:t>10/2016. (IV. 5.) NGM rendelet a munkaeszközök és használatuk biztonsági és egészségügyi követelményeinek minimális szintjéről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-</w:t>
        <w:tab/>
        <w:t>23/2016. (VII. 7.) NGM rendelet a meghatározott feszültséghatáron belüli használatra tervezett villamossági termékek forgalmazásáról, biztonsági követelményeiről és az azoknak való megfelelőség értékeléséről [4.] ……</w:t>
      </w:r>
    </w:p>
    <w:p>
      <w:pPr>
        <w:pStyle w:val="Normal"/>
        <w:spacing w:before="200" w:after="0"/>
        <w:rPr/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73059758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43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msor2Char" w:customStyle="1">
    <w:name w:val="Címsor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link w:val="Header"/>
    <w:uiPriority w:val="99"/>
    <w:qFormat/>
    <w:rsid w:val="005f7e4b"/>
    <w:rPr/>
  </w:style>
  <w:style w:type="character" w:styleId="LlbChar" w:customStyle="1">
    <w:name w:val="Élőláb Char"/>
    <w:basedOn w:val="DefaultParagraphFont"/>
    <w:link w:val="Footer"/>
    <w:uiPriority w:val="99"/>
    <w:qFormat/>
    <w:rsid w:val="005f7e4b"/>
    <w:rPr/>
  </w:style>
  <w:style w:type="character" w:styleId="Cmsor4Char" w:customStyle="1">
    <w:name w:val="Címsor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CmChar" w:customStyle="1">
    <w:name w:val="Cím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AlcmChar" w:customStyle="1">
    <w:name w:val="Alcím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AlcmChar"/>
    <w:uiPriority w:val="11"/>
    <w:qFormat/>
    <w:rsid w:val="00ce73e0"/>
    <w:pPr>
      <w:spacing w:before="0" w:after="720"/>
      <w:jc w:val="right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oSpacing">
    <w:name w:val="No Spacing"/>
    <w:link w:val="NincstrkzChar"/>
    <w:uiPriority w:val="1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paragraph" w:styleId="ListBullet">
    <w:name w:val="List Bullet"/>
    <w:basedOn w:val="Normal"/>
    <w:autoRedefine/>
    <w:qFormat/>
    <w:rsid w:val="001e4b34"/>
    <w:pPr>
      <w:numPr>
        <w:ilvl w:val="0"/>
        <w:numId w:val="6"/>
      </w:numPr>
      <w:spacing w:before="0" w:after="60"/>
    </w:pPr>
    <w:rPr>
      <w:rFonts w:ascii="Times New Roman" w:hAnsi="Times New Roman" w:eastAsia="Times New Roman" w:cs="Times New Roman"/>
      <w:i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F2AD-9926-4D08-A183-45E50596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LibreOffice/7.3.6.2$Linux_X86_64 LibreOffice_project/30$Build-2</Application>
  <AppVersion>15.0000</AppVersion>
  <Pages>6</Pages>
  <Words>1305</Words>
  <Characters>9107</Characters>
  <CharactersWithSpaces>10140</CharactersWithSpaces>
  <Paragraphs>294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2022-09-25T13:24:00Z</dcterms:created>
  <dc:creator>JAI</dc:creator>
  <dc:description/>
  <dc:language>en-US</dc:language>
  <cp:lastModifiedBy/>
  <dcterms:modified xsi:type="dcterms:W3CDTF">2022-09-27T10:31:49Z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