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7BE0B9F9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390F8B">
        <w:rPr>
          <w:lang w:val="en-US"/>
        </w:rPr>
        <w:t>2022</w:t>
      </w:r>
      <w:r w:rsidR="00647A74" w:rsidRPr="00CE73E0">
        <w:rPr>
          <w:lang w:val="en-US"/>
        </w:rPr>
        <w:t>/</w:t>
      </w:r>
      <w:proofErr w:type="gramStart"/>
      <w:r w:rsidR="00390F8B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EC7213">
        <w:rPr>
          <w:lang w:val="en-US"/>
        </w:rPr>
        <w:t>.</w:t>
      </w:r>
      <w:proofErr w:type="gramEnd"/>
      <w:r w:rsidR="00390F8B">
        <w:rPr>
          <w:lang w:val="en-US"/>
        </w:rPr>
        <w:t>1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779DBBC" w:rsidR="00AD4BC7" w:rsidRPr="00C929F1" w:rsidRDefault="00C929F1" w:rsidP="00B40C80">
            <w:pPr>
              <w:rPr>
                <w:rFonts w:asciiTheme="majorHAnsi" w:hAnsiTheme="majorHAnsi"/>
                <w:bCs w:val="0"/>
                <w:color w:val="auto"/>
                <w:sz w:val="24"/>
                <w:szCs w:val="24"/>
              </w:rPr>
            </w:pPr>
            <w:r w:rsidRPr="00C929F1">
              <w:rPr>
                <w:rFonts w:asciiTheme="majorHAnsi" w:hAnsiTheme="majorHAnsi"/>
                <w:bCs w:val="0"/>
                <w:color w:val="auto"/>
                <w:sz w:val="24"/>
                <w:szCs w:val="24"/>
              </w:rPr>
              <w:t>Középfeszültségű elosztóhálózati ismeretek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556E1A4" w:rsidR="00AD4BC7" w:rsidRPr="00AF5724" w:rsidRDefault="00C929F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929F1">
              <w:rPr>
                <w:rFonts w:asciiTheme="majorHAnsi" w:hAnsiTheme="majorHAnsi"/>
                <w:b/>
                <w:i w:val="0"/>
                <w:color w:val="auto"/>
              </w:rPr>
              <w:t>SZB032MN-EA-00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A6C9890" w:rsidR="00AD4BC7" w:rsidRPr="00AF5724" w:rsidRDefault="00390F8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ea</w:t>
            </w:r>
            <w:proofErr w:type="spellEnd"/>
            <w:r w:rsidR="00C929F1">
              <w:rPr>
                <w:rFonts w:asciiTheme="majorHAnsi" w:hAnsiTheme="majorHAnsi"/>
                <w:b/>
                <w:i w:val="0"/>
                <w:color w:val="auto"/>
              </w:rPr>
              <w:t xml:space="preserve">, 0 </w:t>
            </w:r>
            <w:proofErr w:type="spellStart"/>
            <w:r w:rsidR="00C929F1">
              <w:rPr>
                <w:rFonts w:asciiTheme="majorHAnsi" w:hAnsiTheme="majorHAnsi"/>
                <w:b/>
                <w:i w:val="0"/>
                <w:color w:val="auto"/>
              </w:rPr>
              <w:t>gy</w:t>
            </w:r>
            <w:proofErr w:type="spellEnd"/>
            <w:r w:rsidR="00C929F1">
              <w:rPr>
                <w:rFonts w:asciiTheme="majorHAnsi" w:hAnsiTheme="majorHAnsi"/>
                <w:b/>
                <w:i w:val="0"/>
                <w:color w:val="auto"/>
              </w:rPr>
              <w:t xml:space="preserve">, 0 </w:t>
            </w:r>
            <w:proofErr w:type="spellStart"/>
            <w:r w:rsidR="00C929F1">
              <w:rPr>
                <w:rFonts w:asciiTheme="majorHAnsi" w:hAnsiTheme="majorHAnsi"/>
                <w:b/>
                <w:i w:val="0"/>
                <w:color w:val="auto"/>
              </w:rPr>
              <w:t>lab</w:t>
            </w:r>
            <w:proofErr w:type="spellEnd"/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657B064" w:rsidR="00AD4BC7" w:rsidRPr="00AF5724" w:rsidRDefault="00390F8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736B770" w:rsidR="00AD4BC7" w:rsidRPr="00AF5724" w:rsidRDefault="00390F8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villamosmérnök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A5BFF23" w:rsidR="00AD4BC7" w:rsidRPr="00AF5724" w:rsidRDefault="00390F8B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11B04E0" w:rsidR="00AD4BC7" w:rsidRPr="00AF5724" w:rsidRDefault="00C929F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672FA864" w:rsidR="00AD4BC7" w:rsidRPr="00AF5724" w:rsidRDefault="00390F8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2022/2023 1.félév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6F6AD28" w:rsidR="00AD4BC7" w:rsidRPr="00AF5724" w:rsidRDefault="00C929F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5A8D8E34" w:rsidR="00AD4BC7" w:rsidRPr="00AF5724" w:rsidRDefault="00C929F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929F1">
              <w:rPr>
                <w:rFonts w:asciiTheme="majorHAnsi" w:hAnsiTheme="majorHAnsi"/>
                <w:b/>
                <w:i w:val="0"/>
                <w:color w:val="auto"/>
              </w:rPr>
              <w:t>E.ON Villamos- és Gázenergetikai Külső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03953DBB" w:rsidR="00AD4BC7" w:rsidRPr="00AF5724" w:rsidRDefault="00390F8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</w:t>
            </w:r>
            <w:r w:rsidR="00C929F1">
              <w:rPr>
                <w:rFonts w:asciiTheme="majorHAnsi" w:hAnsiTheme="majorHAnsi"/>
                <w:b/>
                <w:color w:val="auto"/>
              </w:rPr>
              <w:t>.</w:t>
            </w:r>
            <w:r>
              <w:rPr>
                <w:rFonts w:asciiTheme="majorHAnsi" w:hAnsiTheme="majorHAnsi"/>
                <w:b/>
                <w:color w:val="auto"/>
              </w:rPr>
              <w:t xml:space="preserve"> Kvasznicza Zoltán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37E1671" w:rsidR="006643D3" w:rsidRPr="00AF5724" w:rsidRDefault="00390F8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Hajós Imre EON külső tsz.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87B8C5B" w14:textId="2F9D6EBC" w:rsidR="00850C07" w:rsidRPr="001F4310" w:rsidRDefault="003E046B" w:rsidP="00F1511F">
      <w:pPr>
        <w:pStyle w:val="Cmsor1"/>
        <w:shd w:val="clear" w:color="auto" w:fill="C7C7C7" w:themeFill="accent1" w:themeFillShade="E6"/>
        <w:rPr>
          <w:i/>
          <w:iCs/>
          <w:sz w:val="16"/>
          <w:szCs w:val="16"/>
        </w:rPr>
      </w:pPr>
      <w:r w:rsidRPr="00B62997">
        <w:t>T</w:t>
      </w:r>
      <w:r w:rsidR="005C08F1" w:rsidRPr="00B62997">
        <w:t>árgyleírás</w:t>
      </w:r>
    </w:p>
    <w:p w14:paraId="15C131BA" w14:textId="0F6DE470" w:rsidR="00F1511F" w:rsidRPr="00300D4B" w:rsidRDefault="00F1511F" w:rsidP="00F1511F">
      <w:pPr>
        <w:shd w:val="clear" w:color="auto" w:fill="DFDFDF" w:themeFill="background2" w:themeFillShade="E6"/>
      </w:pPr>
      <w:r>
        <w:t xml:space="preserve">Az áramszolgáltatói gyakorlatban alkalmazott középfeszültségű szabadvezeték rendszerek történeti áttekintése. Általános tudnivalók, alapfogalmak, hálózati alakzatok, a középfeszültségű szabadvezetékes elosztóhálózat kialakítása. Hálózatméretezési alapelvek létesítési technológia, a technológiai előírások. Középfeszültségű elosztóhálózaton alkalmazott érintésvédelem. </w:t>
      </w:r>
      <w:r w:rsidRPr="00300D4B">
        <w:t>Szabadvezetéki kapcsolókészülékek</w:t>
      </w:r>
      <w:r>
        <w:t xml:space="preserve">, </w:t>
      </w:r>
      <w:r w:rsidRPr="00300D4B">
        <w:t>Túlfeszültségek és túlfeszültség</w:t>
      </w:r>
      <w:r w:rsidR="00275775">
        <w:t xml:space="preserve"> </w:t>
      </w:r>
      <w:r w:rsidRPr="00300D4B">
        <w:t>védelmi készü</w:t>
      </w:r>
      <w:r>
        <w:t>lékek ismertetése.</w:t>
      </w:r>
    </w:p>
    <w:p w14:paraId="20EB8B27" w14:textId="436A3544" w:rsidR="00BE0BC5" w:rsidRPr="00637494" w:rsidRDefault="00BE0BC5" w:rsidP="00637494">
      <w:pPr>
        <w:shd w:val="clear" w:color="auto" w:fill="DFDFDF" w:themeFill="background2" w:themeFillShade="E6"/>
      </w:pP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02B1F9D6" w14:textId="77777777" w:rsidR="00F1511F" w:rsidRPr="00300D4B" w:rsidRDefault="00F1511F" w:rsidP="00F1511F">
      <w:r>
        <w:t xml:space="preserve">Az áramszolgáltatói gyakorlatban alkalmazott középfeszültségű szabadvezeték rendszerek történeti áttekintése. Általános tudnivalók, alapfogalmak, hálózati alakzatok, a középfeszültségű szabadvezetékes elosztóhálózat kialakítása. Hálózatméretezési alapelvek létesítési technológia, a technológiai előírások. Középfeszültségű elosztóhálózaton alkalmazott érintésvédelem. </w:t>
      </w:r>
      <w:r w:rsidRPr="00300D4B">
        <w:t>Szabadvezetéki kapcsolókészülékek</w:t>
      </w:r>
      <w:r>
        <w:t xml:space="preserve">, </w:t>
      </w:r>
      <w:r w:rsidRPr="00300D4B">
        <w:t>Túlfeszültségek és túlfeszültség védelmi készü</w:t>
      </w:r>
      <w:r>
        <w:t>lékek ismertetése.</w:t>
      </w:r>
    </w:p>
    <w:p w14:paraId="5E69DB6C" w14:textId="77777777" w:rsidR="00F1511F" w:rsidRPr="00F1511F" w:rsidRDefault="00F1511F" w:rsidP="00F1511F">
      <w:pPr>
        <w:rPr>
          <w:lang w:val="en-US"/>
        </w:rPr>
      </w:pP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2BA68C8D" w14:textId="2E07015D" w:rsidR="00F1511F" w:rsidRDefault="00F1511F" w:rsidP="00456BE3">
      <w:pPr>
        <w:shd w:val="clear" w:color="auto" w:fill="D9D9D9" w:themeFill="background1" w:themeFillShade="D9"/>
        <w:snapToGrid w:val="0"/>
      </w:pPr>
      <w:r>
        <w:t>A tantárgy célja, megismerte</w:t>
      </w:r>
      <w:r w:rsidR="0053302D">
        <w:t>tni</w:t>
      </w:r>
      <w:r>
        <w:t xml:space="preserve"> a hallgatókkal a szabadvezetékes közép</w:t>
      </w:r>
      <w:r w:rsidRPr="00953881">
        <w:t xml:space="preserve">feszültségű </w:t>
      </w:r>
      <w:r>
        <w:t>elosztóhálózatokkal kapcsolatos specifikus szaktudást</w:t>
      </w:r>
      <w:r w:rsidRPr="00953881">
        <w:t xml:space="preserve">. 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5EA6646C" w:rsidR="00D649DA" w:rsidRDefault="00D649DA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841984" w:rsidRPr="00637494" w14:paraId="4F90583E" w14:textId="77777777" w:rsidTr="00320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5F8FD09F" w14:textId="77777777" w:rsidR="00841984" w:rsidRPr="00637494" w:rsidRDefault="00841984" w:rsidP="0032094F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B434A91" w14:textId="77777777" w:rsidR="00841984" w:rsidRPr="003E046B" w:rsidRDefault="00841984" w:rsidP="003209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841984" w:rsidRPr="00637494" w14:paraId="5ED34EC3" w14:textId="77777777" w:rsidTr="0032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F962BDF" w14:textId="77777777" w:rsidR="00841984" w:rsidRPr="003E046B" w:rsidRDefault="00841984" w:rsidP="0032094F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F1DF2AF" w14:textId="1BD03471" w:rsidR="00841984" w:rsidRPr="00576376" w:rsidRDefault="00841984" w:rsidP="0032094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>
              <w:rPr>
                <w:i/>
                <w:iCs/>
                <w:color w:val="969696" w:themeColor="accent3"/>
              </w:rPr>
              <w:t xml:space="preserve">: Bevezetés. A Magyar Villamosenergia Rendszer felépítése </w:t>
            </w:r>
          </w:p>
          <w:p w14:paraId="6AF41A55" w14:textId="2F9F5BDB" w:rsidR="00841984" w:rsidRPr="00576376" w:rsidRDefault="00841984" w:rsidP="0032094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>
              <w:rPr>
                <w:i/>
                <w:iCs/>
                <w:color w:val="969696" w:themeColor="accent3"/>
              </w:rPr>
              <w:t xml:space="preserve">: </w:t>
            </w:r>
            <w:r>
              <w:rPr>
                <w:i/>
                <w:iCs/>
                <w:color w:val="969696" w:themeColor="accent3"/>
              </w:rPr>
              <w:t>Elosztóhálózati alakzatok</w:t>
            </w:r>
            <w:r>
              <w:rPr>
                <w:i/>
                <w:iCs/>
                <w:color w:val="969696" w:themeColor="accent3"/>
              </w:rPr>
              <w:t>. KÖF hálózat létesítésére vonatkozó előírások</w:t>
            </w:r>
          </w:p>
          <w:p w14:paraId="31A32B56" w14:textId="62D2E0AB" w:rsidR="00841984" w:rsidRPr="00576376" w:rsidRDefault="00841984" w:rsidP="0032094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>
              <w:rPr>
                <w:i/>
                <w:iCs/>
                <w:color w:val="969696" w:themeColor="accent3"/>
              </w:rPr>
              <w:t>: KÖF elosztóhálózat szerkezeti elemeinek bemutatása.</w:t>
            </w:r>
          </w:p>
          <w:p w14:paraId="5BC250D7" w14:textId="6E0C8FBA" w:rsidR="00841984" w:rsidRDefault="00841984" w:rsidP="0032094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KÖF elosztóhálózaton alkalmazott áramütés elleni védelem, méretezési alapelvek</w:t>
            </w:r>
            <w:r w:rsidRPr="00576376">
              <w:rPr>
                <w:i/>
                <w:iCs/>
                <w:color w:val="969696" w:themeColor="accent3"/>
              </w:rPr>
              <w:t>.</w:t>
            </w:r>
          </w:p>
          <w:p w14:paraId="1070CC71" w14:textId="0126C6C3" w:rsidR="00841984" w:rsidRDefault="00841984" w:rsidP="0084198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KÖF elosztóhálózat üzemeltetési ismeretek. Feszültség Alatti Munkavégzés.</w:t>
            </w:r>
          </w:p>
          <w:p w14:paraId="48A436B3" w14:textId="77777777" w:rsidR="00841984" w:rsidRPr="00841984" w:rsidRDefault="00841984" w:rsidP="0032094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841984" w:rsidRPr="00637494" w14:paraId="182FD674" w14:textId="77777777" w:rsidTr="0032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B238D69" w14:textId="77777777" w:rsidR="00841984" w:rsidRDefault="00841984" w:rsidP="0032094F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  <w:p w14:paraId="6B817198" w14:textId="118D7739" w:rsidR="00841984" w:rsidRPr="003E046B" w:rsidRDefault="00841984" w:rsidP="0032094F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F3F6CFC" w14:textId="51EB0065" w:rsidR="00841984" w:rsidRDefault="00841984" w:rsidP="0084198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3F7B10FC" w14:textId="6F477BC5" w:rsidR="00841984" w:rsidRPr="00841984" w:rsidRDefault="00841984" w:rsidP="0084198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-</w:t>
            </w:r>
          </w:p>
          <w:p w14:paraId="6C231029" w14:textId="39424AE1" w:rsidR="00841984" w:rsidRPr="00841984" w:rsidRDefault="00841984" w:rsidP="00841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841984" w:rsidRPr="00637494" w14:paraId="1232BD7F" w14:textId="77777777" w:rsidTr="0032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87B1441" w14:textId="77777777" w:rsidR="00841984" w:rsidRDefault="00841984" w:rsidP="0032094F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  <w:p w14:paraId="7E42E6CB" w14:textId="1DF4EED5" w:rsidR="00841984" w:rsidRDefault="00841984" w:rsidP="0032094F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Labor</w:t>
            </w:r>
            <w:r>
              <w:rPr>
                <w:rFonts w:cstheme="minorHAnsi"/>
                <w:spacing w:val="20"/>
                <w:sz w:val="22"/>
              </w:rPr>
              <w:t>-</w:t>
            </w:r>
          </w:p>
          <w:p w14:paraId="679D04F6" w14:textId="77777777" w:rsidR="00841984" w:rsidRPr="003E046B" w:rsidRDefault="00841984" w:rsidP="0032094F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C3D5419" w14:textId="77777777" w:rsidR="00841984" w:rsidRDefault="00841984" w:rsidP="00841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34E16EBC" w14:textId="076AB8FF" w:rsidR="00841984" w:rsidRPr="00841984" w:rsidRDefault="00841984" w:rsidP="00841984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841984">
              <w:rPr>
                <w:i/>
                <w:iCs/>
                <w:color w:val="969696" w:themeColor="accent3"/>
              </w:rPr>
              <w:t xml:space="preserve"> </w:t>
            </w:r>
          </w:p>
          <w:p w14:paraId="4761E8F4" w14:textId="77777777" w:rsidR="00841984" w:rsidRPr="00576376" w:rsidRDefault="00841984" w:rsidP="0032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3F9C7758" w14:textId="77777777" w:rsidR="00841984" w:rsidRDefault="00841984" w:rsidP="00841984">
      <w:pPr>
        <w:jc w:val="center"/>
        <w:rPr>
          <w:b/>
          <w:bCs/>
          <w:highlight w:val="green"/>
        </w:rPr>
      </w:pPr>
    </w:p>
    <w:p w14:paraId="709B4C5F" w14:textId="77777777" w:rsidR="00841984" w:rsidRDefault="00841984" w:rsidP="00841984">
      <w:pPr>
        <w:rPr>
          <w:lang w:val="en-US"/>
        </w:rPr>
      </w:pPr>
    </w:p>
    <w:p w14:paraId="72BEDA46" w14:textId="4DFDEE1D" w:rsidR="0006578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14B3A5" w14:textId="77777777" w:rsidR="008D55B9" w:rsidRPr="008D55B9" w:rsidRDefault="008D55B9" w:rsidP="008D55B9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2591EBC3" w14:textId="023B8239" w:rsidR="00EC5287" w:rsidRPr="0065458B" w:rsidRDefault="004A452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5458B">
              <w:rPr>
                <w:rFonts w:cstheme="minorHAnsi"/>
              </w:rPr>
              <w:t>Az áramszolgáltatói gyakorlatban alkalmazott szabadvezeték rendszerek történeti áttekintése.</w:t>
            </w:r>
            <w:r w:rsidR="00456BE3" w:rsidRPr="0065458B">
              <w:rPr>
                <w:rFonts w:cstheme="minorHAnsi"/>
              </w:rPr>
              <w:t xml:space="preserve"> </w:t>
            </w:r>
            <w:r w:rsidRPr="0065458B">
              <w:rPr>
                <w:rFonts w:cstheme="minorHAnsi"/>
              </w:rPr>
              <w:t>Az együttműködő VER.</w:t>
            </w:r>
            <w:r w:rsidR="00456BE3" w:rsidRPr="0065458B">
              <w:rPr>
                <w:rFonts w:cstheme="minorHAnsi"/>
              </w:rPr>
              <w:t xml:space="preserve"> </w:t>
            </w:r>
            <w:r w:rsidRPr="0065458B">
              <w:rPr>
                <w:rFonts w:cstheme="minorHAnsi"/>
              </w:rPr>
              <w:t>Villamosene</w:t>
            </w:r>
            <w:r w:rsidR="00456BE3" w:rsidRPr="0065458B">
              <w:rPr>
                <w:rFonts w:cstheme="minorHAnsi"/>
              </w:rPr>
              <w:t>r</w:t>
            </w:r>
            <w:r w:rsidRPr="0065458B">
              <w:rPr>
                <w:rFonts w:cstheme="minorHAnsi"/>
              </w:rPr>
              <w:t>gia előállítása.</w:t>
            </w:r>
          </w:p>
          <w:p w14:paraId="409C9E1E" w14:textId="608D3E0A" w:rsidR="00456BE3" w:rsidRPr="0065458B" w:rsidRDefault="00456BE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536ACA80" w14:textId="1AC347C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50A4F97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64039DE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1C4B53C8" w14:textId="5DCC2520" w:rsidR="004A452E" w:rsidRPr="0065458B" w:rsidRDefault="004A452E" w:rsidP="004A452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5458B">
              <w:rPr>
                <w:rFonts w:eastAsia="Times New Roman" w:cstheme="minorHAnsi"/>
              </w:rPr>
              <w:t>Általános tudnivalók, alapfogalmak,</w:t>
            </w:r>
            <w:r w:rsidR="00C929F1" w:rsidRPr="0065458B">
              <w:rPr>
                <w:rFonts w:eastAsia="Times New Roman" w:cstheme="minorHAnsi"/>
              </w:rPr>
              <w:t xml:space="preserve"> </w:t>
            </w:r>
            <w:r w:rsidRPr="0065458B">
              <w:rPr>
                <w:rFonts w:eastAsia="Times New Roman" w:cstheme="minorHAnsi"/>
              </w:rPr>
              <w:t>szabványok, hálózati alakzatok, a középfeszültségű szabadvezetékes elosztóhálózat kialakítása.</w:t>
            </w:r>
          </w:p>
          <w:p w14:paraId="05F8C741" w14:textId="7B2D84C4" w:rsidR="004A452E" w:rsidRPr="0065458B" w:rsidRDefault="004A452E" w:rsidP="004A452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5458B">
              <w:rPr>
                <w:rFonts w:eastAsia="Times New Roman" w:cstheme="minorHAnsi"/>
              </w:rPr>
              <w:t>kialakítása.</w:t>
            </w:r>
          </w:p>
          <w:p w14:paraId="036E5E4B" w14:textId="77777777" w:rsidR="00EC5287" w:rsidRPr="0065458B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3C2410F4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37267D53" w14:textId="77777777" w:rsidR="004A452E" w:rsidRPr="0065458B" w:rsidRDefault="004A452E" w:rsidP="004A4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5458B">
              <w:rPr>
                <w:rFonts w:cstheme="minorHAnsi"/>
              </w:rPr>
              <w:t>Hálózatméretezési alapelvek létesítési technológia, a technológiai előírások</w:t>
            </w:r>
          </w:p>
          <w:p w14:paraId="5AA29A0A" w14:textId="77777777" w:rsidR="004A452E" w:rsidRPr="0065458B" w:rsidRDefault="004A452E" w:rsidP="004A4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5458B">
              <w:rPr>
                <w:rFonts w:cstheme="minorHAnsi"/>
              </w:rPr>
              <w:t xml:space="preserve">Egyrendszerű, 20 kV-os csupasz szabadvezeték hálózat létesítése áttört gerincű vasbeton oszlopokkal. Oszlopok, oszlopok jellemzése, terhelhetősége, kiválasztása egy kitüntetett igénybevételre. Oszlopok alkalmazási módjai, talajszint alatti megtámasztása, alapozása. </w:t>
            </w:r>
          </w:p>
          <w:p w14:paraId="63769095" w14:textId="77777777" w:rsidR="00EC5287" w:rsidRPr="0065458B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5695884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3B0D2A4F" w14:textId="77777777" w:rsidR="004A452E" w:rsidRPr="0065458B" w:rsidRDefault="004A452E" w:rsidP="004A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5458B">
              <w:rPr>
                <w:rFonts w:cstheme="minorHAnsi"/>
              </w:rPr>
              <w:t>Hálózatméretezési alapelvek létesítési technológia, a technológiai előírások</w:t>
            </w:r>
          </w:p>
          <w:p w14:paraId="5C97BB39" w14:textId="77777777" w:rsidR="00EC5287" w:rsidRPr="0065458B" w:rsidRDefault="004A452E" w:rsidP="004A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5458B">
              <w:rPr>
                <w:rFonts w:cstheme="minorHAnsi"/>
              </w:rPr>
              <w:t xml:space="preserve">Oszlopfejszerkezetek jellemzése, jelölésrendszere, betonoszlopok egyrendszerű fejszerkezetei és alkalmazási módjai. Tartó és feszítő szigetelők. Áramvezetők anyaga és keresztmetszete, a vezetők alkalmazhatósági feltételei. </w:t>
            </w:r>
            <w:r w:rsidRPr="0065458B">
              <w:rPr>
                <w:rFonts w:cstheme="minorHAnsi"/>
                <w:color w:val="000000"/>
              </w:rPr>
              <w:t>Vezetőkötések és szerelvények</w:t>
            </w:r>
            <w:r w:rsidRPr="0065458B">
              <w:rPr>
                <w:rFonts w:cstheme="minorHAnsi"/>
              </w:rPr>
              <w:t>.</w:t>
            </w:r>
          </w:p>
          <w:p w14:paraId="74EA28E9" w14:textId="79CD85ED" w:rsidR="0065458B" w:rsidRPr="0065458B" w:rsidRDefault="0065458B" w:rsidP="004A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5630773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2AD3F541" w14:textId="77777777" w:rsidR="00383F1B" w:rsidRPr="0065458B" w:rsidRDefault="00383F1B" w:rsidP="00383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5458B">
              <w:rPr>
                <w:rFonts w:cstheme="minorHAnsi"/>
              </w:rPr>
              <w:t>Hálózatméretezési alapelvek létesítési technológia, a technológiai előírások</w:t>
            </w:r>
          </w:p>
          <w:p w14:paraId="10903A9E" w14:textId="77777777" w:rsidR="00EC5287" w:rsidRDefault="00383F1B" w:rsidP="00383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5458B">
              <w:rPr>
                <w:rFonts w:cstheme="minorHAnsi"/>
              </w:rPr>
              <w:t>Belógás számítása, hőmérsékleti hatások, pótterhek, összelengés, vezetőrezgés beszabályozás, egyenlőtlen terhelés. Húzófeszültség korlátok</w:t>
            </w:r>
          </w:p>
          <w:p w14:paraId="08DC57AD" w14:textId="607C031C" w:rsidR="0065458B" w:rsidRPr="0065458B" w:rsidRDefault="0065458B" w:rsidP="00383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81C3D2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469E4AB9" w14:textId="77777777" w:rsidR="00383F1B" w:rsidRPr="0065458B" w:rsidRDefault="00383F1B" w:rsidP="0038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5458B">
              <w:rPr>
                <w:rFonts w:cstheme="minorHAnsi"/>
              </w:rPr>
              <w:t xml:space="preserve">Középfeszültségű elosztóhálózaton alkalmazott érintésvédelem. </w:t>
            </w:r>
          </w:p>
          <w:p w14:paraId="5F42CD40" w14:textId="77777777" w:rsidR="0065458B" w:rsidRPr="0065458B" w:rsidRDefault="00383F1B" w:rsidP="0040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5458B">
              <w:rPr>
                <w:rFonts w:cstheme="minorHAnsi"/>
              </w:rPr>
              <w:t>Alapfogalmak: közvetlen érintés elleni védelem, közvetett érintés elleni védelem, helyi föld, referenciaföld, védőösszekötővezető, talaj fajlagos villamos ellenállása, földelési impedancia (ZE), földelési ellenállás (RE), földpotenciálemelkedés (EPR), (</w:t>
            </w:r>
            <w:proofErr w:type="gramStart"/>
            <w:r w:rsidRPr="0065458B">
              <w:rPr>
                <w:rFonts w:cstheme="minorHAnsi"/>
              </w:rPr>
              <w:t>UE )</w:t>
            </w:r>
            <w:proofErr w:type="gramEnd"/>
            <w:r w:rsidRPr="0065458B">
              <w:rPr>
                <w:rFonts w:cstheme="minorHAnsi"/>
              </w:rPr>
              <w:t>, független érintési feszültség (</w:t>
            </w:r>
            <w:proofErr w:type="spellStart"/>
            <w:r w:rsidRPr="0065458B">
              <w:rPr>
                <w:rFonts w:cstheme="minorHAnsi"/>
              </w:rPr>
              <w:t>UvT</w:t>
            </w:r>
            <w:proofErr w:type="spellEnd"/>
            <w:r w:rsidRPr="0065458B">
              <w:rPr>
                <w:rFonts w:cstheme="minorHAnsi"/>
              </w:rPr>
              <w:t>), érintési feszültség, (tényleges) (UT), lépésfeszültség),</w:t>
            </w:r>
          </w:p>
          <w:p w14:paraId="379FC107" w14:textId="43F669BA" w:rsidR="00EC5287" w:rsidRPr="0065458B" w:rsidRDefault="00383F1B" w:rsidP="0040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5458B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</w:tcPr>
          <w:p w14:paraId="06BCFE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D8111A" w:rsidRDefault="00EC5287" w:rsidP="00576376">
            <w:pPr>
              <w:rPr>
                <w:color w:val="FF0000"/>
              </w:rPr>
            </w:pPr>
            <w:r w:rsidRPr="00D8111A">
              <w:rPr>
                <w:color w:val="FF0000"/>
              </w:rPr>
              <w:t>7.</w:t>
            </w:r>
          </w:p>
        </w:tc>
        <w:tc>
          <w:tcPr>
            <w:tcW w:w="3827" w:type="dxa"/>
          </w:tcPr>
          <w:p w14:paraId="57E2F95A" w14:textId="77777777" w:rsidR="00EC5287" w:rsidRPr="0065458B" w:rsidRDefault="00383F1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5458B">
              <w:rPr>
                <w:rFonts w:cstheme="minorHAnsi"/>
                <w:color w:val="FF0000"/>
              </w:rPr>
              <w:t>Szakmai rendezvény</w:t>
            </w:r>
          </w:p>
          <w:p w14:paraId="185B080B" w14:textId="20C8F16F" w:rsidR="0065458B" w:rsidRPr="0065458B" w:rsidRDefault="0065458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  <w:tc>
          <w:tcPr>
            <w:tcW w:w="1985" w:type="dxa"/>
          </w:tcPr>
          <w:p w14:paraId="775052B4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46F7A651" w14:textId="0FC10C80" w:rsidR="00D8111A" w:rsidRPr="0065458B" w:rsidRDefault="00403E2C" w:rsidP="00D81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5458B">
              <w:rPr>
                <w:rFonts w:cstheme="minorHAnsi"/>
                <w:b/>
              </w:rPr>
              <w:t>1. Zárthelyi dolgozat</w:t>
            </w:r>
            <w:r w:rsidR="00D8111A" w:rsidRPr="0065458B">
              <w:rPr>
                <w:rFonts w:cstheme="minorHAnsi"/>
              </w:rPr>
              <w:t xml:space="preserve"> +</w:t>
            </w:r>
          </w:p>
          <w:p w14:paraId="5523AABF" w14:textId="25B444D3" w:rsidR="00D8111A" w:rsidRPr="0065458B" w:rsidRDefault="00D8111A" w:rsidP="00D81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5458B">
              <w:rPr>
                <w:rFonts w:cstheme="minorHAnsi"/>
              </w:rPr>
              <w:lastRenderedPageBreak/>
              <w:t xml:space="preserve">Túlfeszültségek és túlfeszültség védelmi készülékek. </w:t>
            </w:r>
          </w:p>
          <w:p w14:paraId="42A66393" w14:textId="545A5347" w:rsidR="00403E2C" w:rsidRPr="0065458B" w:rsidRDefault="00D8111A" w:rsidP="00D81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5458B">
              <w:rPr>
                <w:rFonts w:cstheme="minorHAnsi"/>
              </w:rPr>
              <w:t>Szikraköz, túlfeszültség levezető, túlfeszültség korlátozó, villámvédő vezetők</w:t>
            </w:r>
          </w:p>
          <w:p w14:paraId="5A143ADC" w14:textId="77777777" w:rsidR="00EC5287" w:rsidRPr="0065458B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5522E3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D8111A" w:rsidRDefault="00EC5287" w:rsidP="00576376">
            <w:pPr>
              <w:rPr>
                <w:color w:val="FF0000"/>
              </w:rPr>
            </w:pPr>
            <w:r w:rsidRPr="00D8111A">
              <w:rPr>
                <w:color w:val="FF0000"/>
              </w:rPr>
              <w:t>9.</w:t>
            </w:r>
          </w:p>
        </w:tc>
        <w:tc>
          <w:tcPr>
            <w:tcW w:w="3827" w:type="dxa"/>
          </w:tcPr>
          <w:p w14:paraId="71CCF083" w14:textId="77777777" w:rsidR="0065458B" w:rsidRDefault="00D8111A" w:rsidP="00D81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5458B">
              <w:rPr>
                <w:rFonts w:cstheme="minorHAnsi"/>
                <w:color w:val="FF0000"/>
              </w:rPr>
              <w:t>Őszi szünet</w:t>
            </w:r>
          </w:p>
          <w:p w14:paraId="2E20334A" w14:textId="2BD6FDA2" w:rsidR="0065458B" w:rsidRPr="0065458B" w:rsidRDefault="0065458B" w:rsidP="00D81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707E4CF8" w14:textId="77777777" w:rsidR="00403E2C" w:rsidRPr="0065458B" w:rsidRDefault="00403E2C" w:rsidP="0040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5458B">
              <w:rPr>
                <w:rFonts w:cstheme="minorHAnsi"/>
              </w:rPr>
              <w:t>Szabadvezetéki kapcsolókészülékek</w:t>
            </w:r>
          </w:p>
          <w:p w14:paraId="6D0D2D20" w14:textId="77777777" w:rsidR="00EC5287" w:rsidRPr="0065458B" w:rsidRDefault="00403E2C" w:rsidP="0040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5458B">
              <w:rPr>
                <w:rFonts w:cstheme="minorHAnsi"/>
              </w:rPr>
              <w:t xml:space="preserve">A középfeszültségű szabadvezetéki elosztóhálózatokon használatos oszlopkapcsolók telepítése az üzemeltetés, üzemzavar elhárítás és a gazdaságosság követelményeinek </w:t>
            </w:r>
            <w:proofErr w:type="gramStart"/>
            <w:r w:rsidRPr="0065458B">
              <w:rPr>
                <w:rFonts w:cstheme="minorHAnsi"/>
              </w:rPr>
              <w:t>figyelembe vételével</w:t>
            </w:r>
            <w:proofErr w:type="gramEnd"/>
            <w:r w:rsidRPr="0065458B">
              <w:rPr>
                <w:rFonts w:cstheme="minorHAnsi"/>
              </w:rPr>
              <w:t>.</w:t>
            </w:r>
          </w:p>
          <w:p w14:paraId="50E7F400" w14:textId="3A7D1EA3" w:rsidR="0065458B" w:rsidRPr="0065458B" w:rsidRDefault="0065458B" w:rsidP="0040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D88746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0582D7A6" w14:textId="77777777" w:rsidR="00ED08F8" w:rsidRPr="0065458B" w:rsidRDefault="00ED08F8" w:rsidP="00ED08F8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5458B">
              <w:rPr>
                <w:rFonts w:cstheme="minorHAnsi"/>
              </w:rPr>
              <w:t>Burkolt szabadvezeték és univerzális kábel. Madárvédelmi megfontolások</w:t>
            </w:r>
          </w:p>
          <w:p w14:paraId="6AF85C7E" w14:textId="77777777" w:rsidR="00EC5287" w:rsidRPr="0065458B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550148E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041E3A6F" w14:textId="16B46ED9" w:rsidR="00ED08F8" w:rsidRPr="0065458B" w:rsidRDefault="00ED08F8" w:rsidP="00ED0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5458B">
              <w:rPr>
                <w:rFonts w:cstheme="minorHAnsi"/>
              </w:rPr>
              <w:t>Üzemvitel, karbantartás és üzemzavar elhárítás fogalma és tervezése. Bejárások, diagnosztika. FAM fogalma és alkalmazása</w:t>
            </w:r>
          </w:p>
          <w:p w14:paraId="3A7993CE" w14:textId="77777777" w:rsidR="00EC5287" w:rsidRPr="0065458B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52808D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6A6B1F18" w:rsidR="00EC5287" w:rsidRPr="0065458B" w:rsidRDefault="00ED08F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5458B">
              <w:rPr>
                <w:rFonts w:cstheme="minorHAnsi"/>
                <w:b/>
              </w:rPr>
              <w:t>2. Zárthelyi dolgozat</w:t>
            </w: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4876657F" w14:textId="77777777" w:rsidR="00ED08F8" w:rsidRPr="0065458B" w:rsidRDefault="00ED08F8" w:rsidP="00ED08F8">
            <w:pPr>
              <w:pStyle w:val="lfej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5458B">
              <w:rPr>
                <w:rFonts w:cstheme="minorHAnsi"/>
              </w:rPr>
              <w:t>Összefoglaló előadás és konzultáció</w:t>
            </w:r>
          </w:p>
          <w:p w14:paraId="5EC6856E" w14:textId="77777777" w:rsidR="00EC5287" w:rsidRPr="0065458B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0F9AC3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675FE8A5" w14:textId="77777777" w:rsidR="00F2008B" w:rsidRPr="0065458B" w:rsidRDefault="00F2008B" w:rsidP="00F2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5458B">
              <w:rPr>
                <w:rFonts w:cstheme="minorHAnsi"/>
              </w:rPr>
              <w:t>Pótlás, félév lezárása</w:t>
            </w:r>
          </w:p>
          <w:p w14:paraId="267E5581" w14:textId="77777777" w:rsidR="00EC5287" w:rsidRPr="0065458B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56227E70" w14:textId="6D705444" w:rsidR="00576376" w:rsidRPr="0065458B" w:rsidRDefault="009B4F16" w:rsidP="0065458B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07B3CF3" w:rsidR="001C7AF2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65458B">
        <w:rPr>
          <w:b/>
          <w:bCs/>
          <w:color w:val="auto"/>
          <w:u w:val="single"/>
          <w:lang w:val="en-US"/>
        </w:rPr>
        <w:t>Jelenléti</w:t>
      </w:r>
      <w:proofErr w:type="spellEnd"/>
      <w:r w:rsidRPr="0065458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65458B">
        <w:rPr>
          <w:b/>
          <w:bCs/>
          <w:color w:val="auto"/>
          <w:u w:val="single"/>
          <w:lang w:val="en-US"/>
        </w:rPr>
        <w:t>és</w:t>
      </w:r>
      <w:proofErr w:type="spellEnd"/>
      <w:r w:rsidRPr="0065458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65458B">
        <w:rPr>
          <w:b/>
          <w:bCs/>
          <w:color w:val="auto"/>
          <w:u w:val="single"/>
          <w:lang w:val="en-US"/>
        </w:rPr>
        <w:t>részvételi</w:t>
      </w:r>
      <w:proofErr w:type="spellEnd"/>
      <w:r w:rsidRPr="0065458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65458B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65458B">
        <w:rPr>
          <w:b/>
          <w:bCs/>
          <w:color w:val="auto"/>
          <w:u w:val="single"/>
          <w:lang w:val="en-US"/>
        </w:rPr>
        <w:t xml:space="preserve"> </w:t>
      </w:r>
    </w:p>
    <w:p w14:paraId="78DB9193" w14:textId="77777777" w:rsidR="0065458B" w:rsidRPr="003E046B" w:rsidRDefault="0065458B" w:rsidP="0065458B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Pr="003E046B">
        <w:rPr>
          <w:i/>
          <w:iCs/>
          <w:sz w:val="16"/>
          <w:szCs w:val="16"/>
        </w:rPr>
        <w:t xml:space="preserve">PTE </w:t>
      </w:r>
      <w:proofErr w:type="spellStart"/>
      <w:r w:rsidRPr="003E046B">
        <w:rPr>
          <w:i/>
          <w:iCs/>
          <w:sz w:val="16"/>
          <w:szCs w:val="16"/>
        </w:rPr>
        <w:t>TVSz</w:t>
      </w:r>
      <w:proofErr w:type="spellEnd"/>
      <w:r w:rsidRPr="003E046B">
        <w:rPr>
          <w:i/>
          <w:iCs/>
          <w:sz w:val="16"/>
          <w:szCs w:val="16"/>
        </w:rPr>
        <w:t xml:space="preserve"> </w:t>
      </w:r>
      <w:r w:rsidRPr="003E046B">
        <w:rPr>
          <w:sz w:val="16"/>
          <w:szCs w:val="16"/>
        </w:rPr>
        <w:t>45.§ (2) és</w:t>
      </w:r>
      <w:r w:rsidRPr="003E046B"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3E046B">
        <w:rPr>
          <w:i/>
          <w:iCs/>
          <w:sz w:val="16"/>
          <w:szCs w:val="16"/>
        </w:rPr>
        <w:t>áról</w:t>
      </w:r>
      <w:proofErr w:type="spellEnd"/>
      <w:r w:rsidRPr="003E046B">
        <w:rPr>
          <w:i/>
          <w:iCs/>
          <w:sz w:val="16"/>
          <w:szCs w:val="16"/>
        </w:rPr>
        <w:t xml:space="preserve"> hiányzott.</w:t>
      </w:r>
    </w:p>
    <w:p w14:paraId="62DDFA63" w14:textId="77777777" w:rsidR="0065458B" w:rsidRPr="0065458B" w:rsidRDefault="0065458B" w:rsidP="0065458B">
      <w:pPr>
        <w:rPr>
          <w:lang w:val="en-US"/>
        </w:rPr>
      </w:pPr>
    </w:p>
    <w:p w14:paraId="6B183626" w14:textId="17C26CF6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7A7C827E" w14:textId="095DA04E" w:rsidR="0065458B" w:rsidRDefault="00047614" w:rsidP="0065458B">
      <w:pPr>
        <w:shd w:val="clear" w:color="auto" w:fill="DFDFDF" w:themeFill="background2" w:themeFillShade="E6"/>
      </w:pPr>
      <w:r>
        <w:t>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435E23DB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</w:p>
    <w:tbl>
      <w:tblPr>
        <w:tblStyle w:val="Tblzatrcsosvilgos"/>
        <w:tblW w:w="9639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3264"/>
      </w:tblGrid>
      <w:tr w:rsidR="00637494" w:rsidRPr="00637494" w14:paraId="27D87004" w14:textId="77777777" w:rsidTr="00047614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3264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047614">
        <w:tc>
          <w:tcPr>
            <w:tcW w:w="4869" w:type="dxa"/>
            <w:shd w:val="clear" w:color="auto" w:fill="DFDFDF" w:themeFill="background2" w:themeFillShade="E6"/>
          </w:tcPr>
          <w:p w14:paraId="1AE7A3C7" w14:textId="4479D891" w:rsidR="001C439B" w:rsidRPr="00E15443" w:rsidRDefault="001B33EE" w:rsidP="00E15443">
            <w:pPr>
              <w:ind w:left="4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1.ZH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100B93DD" w:rsidR="001C439B" w:rsidRPr="00E15443" w:rsidRDefault="001C439B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65458B">
              <w:rPr>
                <w:i/>
                <w:iCs/>
                <w:color w:val="808080" w:themeColor="accent4"/>
              </w:rPr>
              <w:t>.</w:t>
            </w: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1B33EE">
              <w:rPr>
                <w:i/>
                <w:iCs/>
                <w:color w:val="808080" w:themeColor="accent4"/>
              </w:rPr>
              <w:t>4</w:t>
            </w:r>
            <w:r w:rsidR="004428C9" w:rsidRPr="00E15443">
              <w:rPr>
                <w:i/>
                <w:iCs/>
                <w:color w:val="808080" w:themeColor="accent4"/>
              </w:rPr>
              <w:t>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3264" w:type="dxa"/>
            <w:shd w:val="clear" w:color="auto" w:fill="DFDFDF" w:themeFill="background2" w:themeFillShade="E6"/>
          </w:tcPr>
          <w:p w14:paraId="09114E9B" w14:textId="509FFDD6" w:rsidR="001C439B" w:rsidRPr="00E15443" w:rsidRDefault="001B33EE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</w:t>
            </w:r>
            <w:r w:rsidR="001C439B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37494" w:rsidRPr="00637494" w14:paraId="2761954B" w14:textId="77777777" w:rsidTr="00047614">
        <w:tc>
          <w:tcPr>
            <w:tcW w:w="4869" w:type="dxa"/>
            <w:shd w:val="clear" w:color="auto" w:fill="DFDFDF" w:themeFill="background2" w:themeFillShade="E6"/>
          </w:tcPr>
          <w:p w14:paraId="26EDC50D" w14:textId="24D9DB07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27344726" w:rsidR="004428C9" w:rsidRPr="00E15443" w:rsidRDefault="00DA4FE7" w:rsidP="001B33EE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proofErr w:type="spellStart"/>
            <w:r w:rsidR="001B33EE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65458B">
              <w:rPr>
                <w:i/>
                <w:iCs/>
                <w:color w:val="808080" w:themeColor="accent4"/>
              </w:rPr>
              <w:t>.</w:t>
            </w:r>
            <w:r w:rsidR="001B33EE">
              <w:rPr>
                <w:i/>
                <w:iCs/>
                <w:color w:val="808080" w:themeColor="accent4"/>
              </w:rPr>
              <w:t xml:space="preserve"> 6</w:t>
            </w:r>
            <w:r w:rsidR="004428C9"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3264" w:type="dxa"/>
            <w:shd w:val="clear" w:color="auto" w:fill="DFDFDF" w:themeFill="background2" w:themeFillShade="E6"/>
          </w:tcPr>
          <w:p w14:paraId="36A65D99" w14:textId="086960C0" w:rsidR="004428C9" w:rsidRPr="00E15443" w:rsidRDefault="001B33EE" w:rsidP="001B33EE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7</w:t>
            </w:r>
            <w:r w:rsidR="004428C9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37494" w:rsidRPr="00637494" w14:paraId="77A3A22F" w14:textId="77777777" w:rsidTr="00047614">
        <w:tc>
          <w:tcPr>
            <w:tcW w:w="4869" w:type="dxa"/>
            <w:shd w:val="clear" w:color="auto" w:fill="DFDFDF" w:themeFill="background2" w:themeFillShade="E6"/>
          </w:tcPr>
          <w:p w14:paraId="1220E09F" w14:textId="6C3C8750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630FB26A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3264" w:type="dxa"/>
            <w:shd w:val="clear" w:color="auto" w:fill="DFDFDF" w:themeFill="background2" w:themeFillShade="E6"/>
          </w:tcPr>
          <w:p w14:paraId="61A3DDEF" w14:textId="4AD4DC2E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</w:tbl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47§(4))</w:t>
      </w:r>
    </w:p>
    <w:p w14:paraId="23080A2D" w14:textId="43AB129E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</w:p>
    <w:p w14:paraId="2E50038E" w14:textId="67DB7D84" w:rsidR="00C026C1" w:rsidRPr="003E046B" w:rsidRDefault="00094B8E" w:rsidP="003E046B">
      <w:pPr>
        <w:shd w:val="clear" w:color="auto" w:fill="DFDFDF" w:themeFill="background2" w:themeFillShade="E6"/>
      </w:pPr>
      <w:r>
        <w:t>Pót ZH a 15.héten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4910C7E4" w:rsidR="00027996" w:rsidRPr="00637494" w:rsidRDefault="00027996" w:rsidP="00027996">
            <w:pPr>
              <w:ind w:left="851" w:hanging="851"/>
            </w:pPr>
            <w:r w:rsidRPr="00027996">
              <w:t xml:space="preserve">85 % </w:t>
            </w:r>
            <w:r w:rsidR="00C929F1">
              <w:t>felett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5C8CDC3E" w:rsidR="00027996" w:rsidRPr="00637494" w:rsidRDefault="00027996" w:rsidP="00027996">
            <w:pPr>
              <w:ind w:left="851" w:hanging="851"/>
            </w:pPr>
            <w:r w:rsidRPr="00027996">
              <w:t xml:space="preserve">70 % </w:t>
            </w:r>
            <w:r w:rsidR="00C929F1">
              <w:t>-</w:t>
            </w:r>
            <w:r w:rsidRPr="00027996">
              <w:t xml:space="preserve">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3AA434A9" w:rsidR="00027996" w:rsidRPr="00637494" w:rsidRDefault="00027996" w:rsidP="00027996">
            <w:pPr>
              <w:ind w:left="851" w:hanging="851"/>
            </w:pPr>
            <w:r w:rsidRPr="00027996">
              <w:t xml:space="preserve">55 % </w:t>
            </w:r>
            <w:r w:rsidR="00C929F1">
              <w:t>-</w:t>
            </w:r>
            <w:r w:rsidRPr="00027996">
              <w:t xml:space="preserve">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5A40EB52" w:rsidR="00027996" w:rsidRPr="00637494" w:rsidRDefault="00027996" w:rsidP="00027996">
            <w:pPr>
              <w:ind w:left="851" w:hanging="851"/>
            </w:pPr>
            <w:r w:rsidRPr="00027996">
              <w:t xml:space="preserve">40 % </w:t>
            </w:r>
            <w:r w:rsidR="00C929F1">
              <w:t>-</w:t>
            </w:r>
            <w:r w:rsidRPr="00027996">
              <w:t xml:space="preserve">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lastRenderedPageBreak/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4D415E1D" w14:textId="33792794" w:rsidR="008E1B25" w:rsidRPr="003E046B" w:rsidRDefault="008D55B9" w:rsidP="003E046B">
      <w:pPr>
        <w:shd w:val="clear" w:color="auto" w:fill="DFDFDF" w:themeFill="background2" w:themeFillShade="E6"/>
      </w:pPr>
      <w:r>
        <w:t xml:space="preserve">55%-os </w:t>
      </w:r>
      <w:r w:rsidR="0065458B">
        <w:t xml:space="preserve">évközi </w:t>
      </w:r>
      <w:r>
        <w:t>teljesítés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2E5EEFE" w14:textId="3DE019E8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1C3DDA">
        <w:rPr>
          <w:rFonts w:cstheme="minorHAnsi"/>
        </w:rPr>
        <w:t>Az oktató által kiadott elektronikus jegyzet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24ACC227" w14:textId="23735486" w:rsidR="001C3DDA" w:rsidRPr="001C3DDA" w:rsidRDefault="004348FE" w:rsidP="001C3DDA">
      <w:pPr>
        <w:rPr>
          <w:rFonts w:cstheme="minorHAnsi"/>
        </w:rPr>
      </w:pPr>
      <w:r w:rsidRPr="00637494">
        <w:rPr>
          <w:rFonts w:cstheme="minorHAnsi"/>
        </w:rPr>
        <w:t>[</w:t>
      </w:r>
      <w:r w:rsidR="001C3DDA">
        <w:rPr>
          <w:rFonts w:cstheme="minorHAnsi"/>
        </w:rPr>
        <w:t>2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1C3DDA">
        <w:rPr>
          <w:rFonts w:cstheme="minorHAnsi"/>
        </w:rPr>
        <w:t xml:space="preserve"> </w:t>
      </w:r>
      <w:r w:rsidR="001C3DDA" w:rsidRPr="001C3DDA">
        <w:rPr>
          <w:rFonts w:cstheme="minorHAnsi"/>
        </w:rPr>
        <w:t>VÁT-H20 típusterv</w:t>
      </w:r>
    </w:p>
    <w:p w14:paraId="12A10C77" w14:textId="61216B84" w:rsidR="001C3DDA" w:rsidRPr="001C3DDA" w:rsidRDefault="001C3DDA" w:rsidP="001C3DDA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3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Pr="001C3DDA">
        <w:rPr>
          <w:rFonts w:cstheme="minorHAnsi"/>
        </w:rPr>
        <w:t>VÁT-H2 típusterv</w:t>
      </w:r>
    </w:p>
    <w:p w14:paraId="4767F0D8" w14:textId="133BB101" w:rsidR="001C3DDA" w:rsidRPr="001C3DDA" w:rsidRDefault="001C3DDA" w:rsidP="001C3DDA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4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Pr="001C3DDA">
        <w:rPr>
          <w:rFonts w:cstheme="minorHAnsi"/>
        </w:rPr>
        <w:t>MSZ EN 50160:2008</w:t>
      </w:r>
    </w:p>
    <w:p w14:paraId="798F7079" w14:textId="39BC7114" w:rsidR="001C3DDA" w:rsidRPr="001C3DDA" w:rsidRDefault="001C3DDA" w:rsidP="001C3DDA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5.</w:t>
      </w:r>
      <w:r w:rsidRPr="00637494">
        <w:rPr>
          <w:rFonts w:cstheme="minorHAnsi"/>
        </w:rPr>
        <w:t xml:space="preserve">] </w:t>
      </w:r>
      <w:r w:rsidRPr="001C3DDA">
        <w:rPr>
          <w:rFonts w:cstheme="minorHAnsi"/>
        </w:rPr>
        <w:t>MSZ 1585:2016</w:t>
      </w:r>
    </w:p>
    <w:p w14:paraId="0EDAC247" w14:textId="157B6B09" w:rsidR="001C3DDA" w:rsidRPr="001C3DDA" w:rsidRDefault="001C3DDA" w:rsidP="001C3DDA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6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Pr="001C3DDA">
        <w:rPr>
          <w:rFonts w:cstheme="minorHAnsi"/>
        </w:rPr>
        <w:t xml:space="preserve">MSZ 151-1:2000 </w:t>
      </w:r>
    </w:p>
    <w:p w14:paraId="795BDC0E" w14:textId="54E95BF5" w:rsidR="001C3DDA" w:rsidRPr="001C3DDA" w:rsidRDefault="001C3DDA" w:rsidP="001C3DDA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7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Pr="001C3DDA">
        <w:rPr>
          <w:rFonts w:cstheme="minorHAnsi"/>
        </w:rPr>
        <w:t xml:space="preserve">MSZ 151-4:1989 </w:t>
      </w:r>
    </w:p>
    <w:p w14:paraId="41D42322" w14:textId="2F383BAD" w:rsidR="004348FE" w:rsidRPr="00637494" w:rsidRDefault="001C3DDA" w:rsidP="001C3DDA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8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Pr="001C3DDA">
        <w:rPr>
          <w:rFonts w:cstheme="minorHAnsi"/>
        </w:rPr>
        <w:t>MSZ EN 50341-1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9879" w14:textId="77777777" w:rsidR="00717932" w:rsidRDefault="00717932" w:rsidP="00AD4BC7">
      <w:r>
        <w:separator/>
      </w:r>
    </w:p>
  </w:endnote>
  <w:endnote w:type="continuationSeparator" w:id="0">
    <w:p w14:paraId="41524526" w14:textId="77777777" w:rsidR="00717932" w:rsidRDefault="0071793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69E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4C9D" w14:textId="77777777" w:rsidR="00717932" w:rsidRDefault="00717932" w:rsidP="00AD4BC7">
      <w:r>
        <w:separator/>
      </w:r>
    </w:p>
  </w:footnote>
  <w:footnote w:type="continuationSeparator" w:id="0">
    <w:p w14:paraId="2545CFE6" w14:textId="77777777" w:rsidR="00717932" w:rsidRDefault="0071793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76DC5"/>
    <w:multiLevelType w:val="hybridMultilevel"/>
    <w:tmpl w:val="3744B156"/>
    <w:lvl w:ilvl="0" w:tplc="5F08294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72A4"/>
    <w:multiLevelType w:val="hybridMultilevel"/>
    <w:tmpl w:val="DCF2D40C"/>
    <w:lvl w:ilvl="0" w:tplc="5C4C278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18"/>
  </w:num>
  <w:num w:numId="10">
    <w:abstractNumId w:val="22"/>
  </w:num>
  <w:num w:numId="11">
    <w:abstractNumId w:val="27"/>
  </w:num>
  <w:num w:numId="12">
    <w:abstractNumId w:val="24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14"/>
  </w:num>
  <w:num w:numId="19">
    <w:abstractNumId w:val="26"/>
  </w:num>
  <w:num w:numId="20">
    <w:abstractNumId w:val="19"/>
  </w:num>
  <w:num w:numId="21">
    <w:abstractNumId w:val="21"/>
  </w:num>
  <w:num w:numId="22">
    <w:abstractNumId w:val="6"/>
  </w:num>
  <w:num w:numId="23">
    <w:abstractNumId w:val="13"/>
  </w:num>
  <w:num w:numId="24">
    <w:abstractNumId w:val="10"/>
  </w:num>
  <w:num w:numId="25">
    <w:abstractNumId w:val="7"/>
  </w:num>
  <w:num w:numId="26">
    <w:abstractNumId w:val="17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4378"/>
    <w:rsid w:val="00006F5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47614"/>
    <w:rsid w:val="00052842"/>
    <w:rsid w:val="0005459A"/>
    <w:rsid w:val="00055E0B"/>
    <w:rsid w:val="00064593"/>
    <w:rsid w:val="00065780"/>
    <w:rsid w:val="00077728"/>
    <w:rsid w:val="00085F17"/>
    <w:rsid w:val="000948A6"/>
    <w:rsid w:val="00094B8E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92D7A"/>
    <w:rsid w:val="001A4BE8"/>
    <w:rsid w:val="001B050E"/>
    <w:rsid w:val="001B33EE"/>
    <w:rsid w:val="001B57F9"/>
    <w:rsid w:val="001C3DDA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75775"/>
    <w:rsid w:val="00283F7B"/>
    <w:rsid w:val="002852D2"/>
    <w:rsid w:val="002A1E0F"/>
    <w:rsid w:val="002A5D34"/>
    <w:rsid w:val="002B1870"/>
    <w:rsid w:val="002B4226"/>
    <w:rsid w:val="002C33DD"/>
    <w:rsid w:val="002C469E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83F1B"/>
    <w:rsid w:val="00390F8B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3E2C"/>
    <w:rsid w:val="004045C9"/>
    <w:rsid w:val="004223C6"/>
    <w:rsid w:val="00430B31"/>
    <w:rsid w:val="004348FE"/>
    <w:rsid w:val="00441689"/>
    <w:rsid w:val="004428C9"/>
    <w:rsid w:val="0044290E"/>
    <w:rsid w:val="00445928"/>
    <w:rsid w:val="00456BE3"/>
    <w:rsid w:val="004609C8"/>
    <w:rsid w:val="00467A06"/>
    <w:rsid w:val="004739D5"/>
    <w:rsid w:val="00484B98"/>
    <w:rsid w:val="004A452E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3302D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58B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793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198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D55B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929F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111A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08F8"/>
    <w:rsid w:val="00ED25F2"/>
    <w:rsid w:val="00ED693F"/>
    <w:rsid w:val="00EE747E"/>
    <w:rsid w:val="00F01068"/>
    <w:rsid w:val="00F1511F"/>
    <w:rsid w:val="00F2008B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DE8E-1877-4451-B545-B5F0FDF7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788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Maza, Gábor</cp:lastModifiedBy>
  <cp:revision>24</cp:revision>
  <dcterms:created xsi:type="dcterms:W3CDTF">2022-08-29T07:35:00Z</dcterms:created>
  <dcterms:modified xsi:type="dcterms:W3CDTF">2022-09-01T09:29:00Z</dcterms:modified>
</cp:coreProperties>
</file>