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BBD25E6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E11C5" w:rsidRPr="00AE11C5">
        <w:rPr>
          <w:rStyle w:val="None"/>
          <w:rFonts w:ascii="Garamond" w:eastAsia="Arial Unicode MS" w:hAnsi="Garamond"/>
          <w:b w:val="0"/>
          <w:bCs/>
          <w:color w:val="auto"/>
        </w:rPr>
        <w:t>EPM320MNEM</w:t>
      </w:r>
    </w:p>
    <w:p w14:paraId="1FEBE254" w14:textId="1CB3A1C7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50CA8">
        <w:rPr>
          <w:rStyle w:val="None"/>
          <w:rFonts w:ascii="Garamond" w:eastAsia="Arial Unicode MS" w:hAnsi="Garamond"/>
          <w:b w:val="0"/>
          <w:color w:val="auto"/>
        </w:rPr>
        <w:t>9</w:t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2F7CC8C9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902B4F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40</w:t>
      </w:r>
    </w:p>
    <w:p w14:paraId="78EAED4C" w14:textId="1A365E0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21612C" w:rsidRPr="0021612C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90</w:t>
      </w:r>
    </w:p>
    <w:p w14:paraId="0B43768C" w14:textId="0C6758F9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</w:t>
      </w:r>
      <w:r w:rsidR="001F3CAF">
        <w:rPr>
          <w:rStyle w:val="None"/>
          <w:rFonts w:ascii="Garamond" w:eastAsia="Arial Unicode MS" w:hAnsi="Garamond"/>
          <w:b w:val="0"/>
          <w:bCs/>
          <w:color w:val="auto"/>
        </w:rPr>
        <w:t>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4A6469EC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</w:t>
      </w:r>
      <w:r w:rsidR="0021612C">
        <w:rPr>
          <w:rStyle w:val="None"/>
          <w:rFonts w:ascii="Garamond" w:eastAsia="Arial Unicode MS" w:hAnsi="Garamond"/>
          <w:b w:val="0"/>
          <w:color w:val="auto"/>
        </w:rPr>
        <w:t>N</w:t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D5EB664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Zilahi Péter, egyetemi docens</w:t>
      </w:r>
    </w:p>
    <w:p w14:paraId="7587FCB2" w14:textId="77777777" w:rsidR="00B5499E" w:rsidRPr="007E3B1C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7CF63C89" w14:textId="77777777" w:rsidR="00B5499E" w:rsidRPr="007E3B1C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D7D47FD" w14:textId="77777777" w:rsidR="00B5499E" w:rsidRDefault="00B5499E" w:rsidP="00B5499E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1A3F5DE6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0C0201BF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4409B0E9" w14:textId="77777777" w:rsidR="00B5499E" w:rsidRPr="00FB6401" w:rsidRDefault="00B5499E" w:rsidP="00B5499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Cs/>
          <w:color w:val="auto"/>
        </w:rPr>
        <w:t xml:space="preserve">előadó: 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2D4C126" w14:textId="77777777" w:rsidR="00B5499E" w:rsidRPr="006273DF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770294DC" w14:textId="77777777" w:rsidR="00B5499E" w:rsidRPr="006273DF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3915B5C2" w14:textId="77777777" w:rsidR="00B5499E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0EA9471" w14:textId="77777777" w:rsidR="00B5499E" w:rsidRPr="00D21BE4" w:rsidRDefault="00B5499E" w:rsidP="00B5499E">
      <w:pPr>
        <w:pStyle w:val="TEMATIKA-OKTATK"/>
        <w:jc w:val="both"/>
        <w:rPr>
          <w:rFonts w:ascii="Garamond" w:hAnsi="Garamond"/>
          <w:b w:val="0"/>
        </w:rPr>
      </w:pPr>
    </w:p>
    <w:p w14:paraId="124D7909" w14:textId="77777777" w:rsidR="00B5499E" w:rsidRPr="00FB6401" w:rsidRDefault="00B5499E" w:rsidP="00B5499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Kovács-Andor Krisztián, egyetemi docens</w:t>
      </w:r>
    </w:p>
    <w:p w14:paraId="41291AC6" w14:textId="77777777" w:rsidR="00B5499E" w:rsidRPr="006273DF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60F4E2DD" w14:textId="77777777" w:rsidR="00B5499E" w:rsidRPr="006273DF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E-mail: k-andor@mik.pte.hu</w:t>
      </w:r>
    </w:p>
    <w:p w14:paraId="2DB01652" w14:textId="77777777" w:rsidR="00B5499E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</w:p>
    <w:p w14:paraId="5755200E" w14:textId="77777777" w:rsidR="00B5499E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77BB91DF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 xml:space="preserve">Dr. Zilahi Péter, 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71D82194" w14:textId="77777777" w:rsidR="00B5499E" w:rsidRPr="007E3B1C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0B8D177D" w14:textId="77777777" w:rsidR="00B5499E" w:rsidRPr="007E3B1C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3ECADF77" w14:textId="77777777" w:rsidR="00B5499E" w:rsidRDefault="00B5499E" w:rsidP="00B5499E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07EBB5E5" w14:textId="77777777" w:rsidR="00B5499E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78ADC79D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3DCFBF6E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65EFC04A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39B0D536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4FF05BE6" w14:textId="77777777" w:rsidR="00B5499E" w:rsidRPr="00D21BE4" w:rsidRDefault="00B5499E" w:rsidP="00B5499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30253E1" w14:textId="77777777" w:rsidR="00B5499E" w:rsidRDefault="00B5499E" w:rsidP="00B5499E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1B58C9F7" w14:textId="77777777" w:rsidR="00B5499E" w:rsidRPr="00B553F1" w:rsidRDefault="00B5499E" w:rsidP="00B5499E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3848B96F" w14:textId="77777777" w:rsidR="00B5499E" w:rsidRDefault="00B5499E" w:rsidP="00B5499E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58FEB3B6" w14:textId="77777777" w:rsidR="00B5499E" w:rsidRDefault="00B5499E" w:rsidP="00B5499E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és természeti 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3E412588" w14:textId="77777777" w:rsidR="00B5499E" w:rsidRDefault="00B5499E" w:rsidP="00B5499E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6449B922" w14:textId="77777777" w:rsidR="00B5499E" w:rsidRDefault="00B5499E" w:rsidP="00B5499E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 (közlekedési rendszer, közösségi terek kapcsolódásai, természeti környezet), valamint a mérnöki struktúrák építőművészeti koncepcióba integrálását nagyléptékű középület tervezésével szükséges elsajátítani.</w:t>
      </w:r>
    </w:p>
    <w:p w14:paraId="7B502850" w14:textId="77777777" w:rsidR="00B5499E" w:rsidRPr="003368B3" w:rsidRDefault="00B5499E" w:rsidP="00B5499E">
      <w:pPr>
        <w:spacing w:line="276" w:lineRule="auto"/>
        <w:rPr>
          <w:lang w:val="hu-HU" w:eastAsia="hu-HU"/>
        </w:rPr>
      </w:pPr>
    </w:p>
    <w:p w14:paraId="4D277288" w14:textId="77777777" w:rsidR="00B5499E" w:rsidRPr="00B553F1" w:rsidRDefault="00B5499E" w:rsidP="00B5499E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7D61B3C7" w14:textId="77777777" w:rsidR="00B5499E" w:rsidRPr="00FB12BD" w:rsidRDefault="00B5499E" w:rsidP="00B5499E">
      <w:pPr>
        <w:rPr>
          <w:lang w:val="hu-HU"/>
        </w:rPr>
      </w:pPr>
    </w:p>
    <w:p w14:paraId="283ADA79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kurzus célja, hogy a részt vevő hallgatók a korábbiakban megszerzett tudásukat komplex módon tudják alkalmazni. A szemeszter végére képesnek kell lenni a szerkezeti, funkcionális és művészeti kérdésekről, határozott és koherens gondolatokat megfogalmazni. A gondolatok verbális megfogalmazása nem elégséges, magas műszaki és grafikai minőségben is szükséges prezentálni.</w:t>
      </w:r>
    </w:p>
    <w:p w14:paraId="74DC0D20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8F0752B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szakmai kompetenciákat szerzik meg:</w:t>
      </w:r>
    </w:p>
    <w:p w14:paraId="7BCBC5DD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372A7EB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0A0CD4B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63F097CD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1FFC807F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34DA46A1" w14:textId="77777777" w:rsidR="00B5499E" w:rsidRPr="00A94325" w:rsidRDefault="00B5499E" w:rsidP="00B5499E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D454B2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50C21212" w14:textId="77777777" w:rsidR="00B5499E" w:rsidRPr="006A3D71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403C1B79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5CF6D01D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9ADC9A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 átlátására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70DC148" w14:textId="77777777" w:rsidR="00B5499E" w:rsidRPr="0089208F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15BCCFFC" w14:textId="77777777" w:rsidR="00B5499E" w:rsidRDefault="00B5499E" w:rsidP="00B5499E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0783AE72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61C81238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536FE122" w14:textId="77777777" w:rsidR="00B5499E" w:rsidRPr="00800BEF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061CB9AF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170C2A5F" w14:textId="77777777" w:rsidR="00B5499E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48C2300A" w14:textId="77777777" w:rsidR="00B5499E" w:rsidRPr="00856B0F" w:rsidRDefault="00B5499E" w:rsidP="00B5499E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CB9CBF1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ED1D45C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 és felelősség:</w:t>
      </w:r>
    </w:p>
    <w:p w14:paraId="32CCB845" w14:textId="77777777" w:rsidR="00B5499E" w:rsidRPr="003975F0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72C609A7" w14:textId="77777777" w:rsidR="00B5499E" w:rsidRPr="00AA23E1" w:rsidRDefault="00B5499E" w:rsidP="00B5499E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326D3CA9" w14:textId="77777777" w:rsidR="00B5499E" w:rsidRDefault="00B5499E" w:rsidP="00B5499E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23BCF5F0" w14:textId="77777777" w:rsidR="00B5499E" w:rsidRPr="00D21BE4" w:rsidRDefault="00B5499E" w:rsidP="00B5499E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2333CA29" w14:textId="77777777" w:rsidR="00B5499E" w:rsidRPr="00B553F1" w:rsidRDefault="00B5499E" w:rsidP="00B5499E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Tantárgy tartalma</w:t>
      </w:r>
    </w:p>
    <w:p w14:paraId="14DF55CC" w14:textId="77777777" w:rsidR="00B5499E" w:rsidRPr="002E62D1" w:rsidRDefault="00B5499E" w:rsidP="00B5499E">
      <w:pPr>
        <w:rPr>
          <w:lang w:val="hu-HU"/>
        </w:rPr>
      </w:pPr>
    </w:p>
    <w:p w14:paraId="56EB30D9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>
        <w:rPr>
          <w:rFonts w:ascii="Garamond" w:hAnsi="Garamond"/>
          <w:sz w:val="20"/>
          <w:szCs w:val="20"/>
          <w:lang w:val="hu-HU"/>
        </w:rPr>
        <w:t>Az épület funkcionális rendszerének megoldása még nem elégséges. M</w:t>
      </w:r>
      <w:r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>
        <w:rPr>
          <w:rFonts w:ascii="Garamond" w:hAnsi="Garamond"/>
          <w:sz w:val="20"/>
          <w:szCs w:val="20"/>
          <w:lang w:val="hu-HU"/>
        </w:rPr>
        <w:t>, a</w:t>
      </w:r>
      <w:r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17BDE873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6B8B41AA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Ezen célok elérése érdekében </w:t>
      </w:r>
      <w:r w:rsidRPr="003D31C4">
        <w:rPr>
          <w:rFonts w:ascii="Garamond" w:hAnsi="Garamond"/>
          <w:b/>
          <w:bCs/>
          <w:sz w:val="20"/>
          <w:szCs w:val="20"/>
          <w:lang w:val="hu-HU"/>
        </w:rPr>
        <w:t>tervezési napló</w:t>
      </w:r>
      <w:r>
        <w:rPr>
          <w:rFonts w:ascii="Garamond" w:hAnsi="Garamond"/>
          <w:sz w:val="20"/>
          <w:szCs w:val="20"/>
          <w:lang w:val="hu-HU"/>
        </w:rPr>
        <w:t>t kell vezetni, melyet minden konzultációs alkalommal be kell mutatni - verbális visszajelzés érdekében - a konzulensnek, továbbá két alkalommal pontozással is értékelésre kerül.</w:t>
      </w:r>
    </w:p>
    <w:p w14:paraId="5863184F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6CA86AC9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 xml:space="preserve">k során történik. A konzultációkon be kell mutatni fejlődés irányát, rajzokban </w:t>
      </w:r>
      <w:r w:rsidRPr="00C235D3">
        <w:rPr>
          <w:rFonts w:ascii="Garamond" w:hAnsi="Garamond"/>
          <w:b/>
          <w:bCs/>
          <w:sz w:val="20"/>
          <w:szCs w:val="20"/>
          <w:lang w:val="hu-HU"/>
        </w:rPr>
        <w:t>bizonyítani kell a felvetett téziseket</w:t>
      </w:r>
      <w:r>
        <w:rPr>
          <w:rFonts w:ascii="Garamond" w:hAnsi="Garamond"/>
          <w:sz w:val="20"/>
          <w:szCs w:val="20"/>
          <w:lang w:val="hu-HU"/>
        </w:rPr>
        <w:t>. Ennek hiányában a visszajelzés negatív és órai hiányzásként szükséges elkönyvelni.</w:t>
      </w:r>
    </w:p>
    <w:p w14:paraId="141583EE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872EBF3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</w:t>
      </w:r>
      <w:r>
        <w:rPr>
          <w:rFonts w:ascii="Garamond" w:hAnsi="Garamond"/>
          <w:sz w:val="20"/>
          <w:szCs w:val="20"/>
          <w:lang w:val="hu-HU"/>
        </w:rPr>
        <w:t xml:space="preserve"> is</w:t>
      </w:r>
      <w:r w:rsidRPr="00D52F45">
        <w:rPr>
          <w:rFonts w:ascii="Garamond" w:hAnsi="Garamond"/>
          <w:sz w:val="20"/>
          <w:szCs w:val="20"/>
          <w:lang w:val="hu-HU"/>
        </w:rPr>
        <w:t xml:space="preserve"> lesznek kontaktórák. A kontaktórák koherens egészet alkotva támogatják a tervezési folyamatot. </w:t>
      </w:r>
      <w:r>
        <w:rPr>
          <w:rFonts w:ascii="Garamond" w:hAnsi="Garamond"/>
          <w:sz w:val="20"/>
          <w:szCs w:val="20"/>
          <w:lang w:val="hu-HU"/>
        </w:rPr>
        <w:t>A részvétel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 xml:space="preserve">mellett </w:t>
      </w:r>
      <w:r w:rsidRPr="00D52F45">
        <w:rPr>
          <w:rFonts w:ascii="Garamond" w:hAnsi="Garamond"/>
          <w:sz w:val="20"/>
          <w:szCs w:val="20"/>
          <w:lang w:val="hu-HU"/>
        </w:rPr>
        <w:t>szükséges a folyamat konstans naplózása</w:t>
      </w:r>
      <w:r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0BD27C62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4FA6A6F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Az első, pontszámmal is számszerűsített visszajelzés a 6. oktatási héten történik. Ekkor gyors előadás keretében kell bemutatni egy választott épület </w:t>
      </w:r>
      <w:r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>
        <w:rPr>
          <w:rFonts w:ascii="Garamond" w:hAnsi="Garamond"/>
          <w:sz w:val="20"/>
          <w:szCs w:val="20"/>
          <w:lang w:val="hu-HU"/>
        </w:rPr>
        <w:t>át. Beadási határidő a kurzusprogram szerint. Pótlási lehetőség a következő kontaktórai alkalommal lehetséges.</w:t>
      </w:r>
    </w:p>
    <w:p w14:paraId="35D1EBF5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5155E25B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 tervet. A kritikus konzultáció során röviden, szóban is ismertetni kell a tervet. Az ismertetést követően rövid oktatói visszajelzés hangzik el.</w:t>
      </w:r>
      <w:r w:rsidRPr="00D86B80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>Pótlási lehetőség a következő kontaktórai alkalommal lehetséges.</w:t>
      </w:r>
    </w:p>
    <w:p w14:paraId="66D99A6B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05E126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szemeszter a 13. héten zárul. A tantárgyi időbeosztás szerint erre az alkalomra regisztrálni kell.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>
        <w:rPr>
          <w:rFonts w:ascii="Garamond" w:hAnsi="Garamond"/>
          <w:sz w:val="20"/>
          <w:szCs w:val="20"/>
          <w:lang w:val="hu-HU"/>
        </w:rPr>
        <w:t>n kizárólag maradéktalanul befejezett munkával lehet részt venni. A záróprezentáción részt nem vevők vagy hiányos anyaggal érkezők a tanulmányi rendszerben „aláírás megtagadva” bejegyzést kapnak. Az aláírás és a félévközi jegy megszerzésére még egyszer, a vizsgaidőszakban van lehetőség. Ez a prezentációs alkalom két napos. Pontos időpontját a tantárgyi időbeosztás tartalmazza.</w:t>
      </w:r>
    </w:p>
    <w:p w14:paraId="0D9B4653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8E597A0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3AF694D1" w14:textId="77777777" w:rsidR="00B5499E" w:rsidRDefault="00B5499E" w:rsidP="00B5499E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0B7D88A" w14:textId="77777777" w:rsidR="00B5499E" w:rsidRPr="00B553F1" w:rsidRDefault="00B5499E" w:rsidP="00B5499E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47FAEBF7" w14:textId="77777777" w:rsidR="00B5499E" w:rsidRPr="007331B6" w:rsidRDefault="00B5499E" w:rsidP="00B5499E">
      <w:pPr>
        <w:rPr>
          <w:i/>
          <w:iCs/>
          <w:lang w:val="hu-HU"/>
        </w:rPr>
      </w:pPr>
    </w:p>
    <w:p w14:paraId="003B47AA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7D38EB91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0BB21D54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konzultációk és előadások 50 %-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automatikusan „nem teljesítette” értékelést von maga után. A hiányzás oka 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kontaktóra-időpontokban van lehetőség. A konzultáción a nem elégséges aktivitás hiányzásnak minősül.</w:t>
      </w:r>
    </w:p>
    <w:p w14:paraId="4B1BE6EC" w14:textId="77777777" w:rsidR="00B5499E" w:rsidRPr="00EE23C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0876C98C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501EC338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4734207F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5CF8A38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75F65743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067EAC24" w14:textId="77777777" w:rsidR="00B5499E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49E8BDD" w14:textId="77777777" w:rsidR="00B5499E" w:rsidRPr="00194A2F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11686C43" w14:textId="77777777" w:rsidR="00B5499E" w:rsidRPr="009A5AE0" w:rsidRDefault="00B5499E" w:rsidP="00B5499E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6E0E0B0C" w14:textId="77777777" w:rsidR="00B5499E" w:rsidRPr="009A5AE0" w:rsidRDefault="00B5499E" w:rsidP="00B5499E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2BCABADB" w14:textId="77777777" w:rsidR="00B5499E" w:rsidRPr="009E6A04" w:rsidRDefault="00B5499E" w:rsidP="00B5499E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B6F21D4" w14:textId="77777777" w:rsidR="00B5499E" w:rsidRPr="00194A2F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11717352" w14:textId="77777777" w:rsidR="00B5499E" w:rsidRPr="00194A2F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 féléves munka osztályzatot kaphat. Az osztályzat az aláírás megététől függetlenül lehet 1 (elégtelen). </w:t>
      </w:r>
      <w:r w:rsidRPr="00AB1874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munkarészek megléte nem jelenti automatikusan a kurzus teljesítését!</w:t>
      </w:r>
    </w:p>
    <w:p w14:paraId="4861D832" w14:textId="77777777" w:rsidR="00B5499E" w:rsidRPr="00194A2F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CAFD3F9" w14:textId="77777777" w:rsidR="00B5499E" w:rsidRPr="00744D3A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063E12F" w14:textId="77777777" w:rsidR="00B5499E" w:rsidRPr="00744D3A" w:rsidRDefault="00B5499E" w:rsidP="00B5499E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Elégtelennek kell minősíteni a munkát, amennyiben nem teljesíti az elvárt, magas színvonalú külalaki követelményeket. Továbbá, ha a féléves munkában nem lelhetőek fel a tantárgy célkitűzései: funkcionális rendszer működésképtelensége vagy az építőművészeti koncepció hiánya.</w:t>
      </w:r>
    </w:p>
    <w:p w14:paraId="02C286F1" w14:textId="77777777" w:rsidR="00B5499E" w:rsidRPr="00744D3A" w:rsidRDefault="00B5499E" w:rsidP="00B5499E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Az elégséges osztályzat eléréséhez minimális szükséglet az értékelhető építőművészeti koncepció és az alapvető működési szisztéma megléte.</w:t>
      </w:r>
    </w:p>
    <w:p w14:paraId="7BBF8E3C" w14:textId="77777777" w:rsidR="00B5499E" w:rsidRPr="00744D3A" w:rsidRDefault="00B5499E" w:rsidP="00B5499E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Közepes munkaként értékelendő a feladat, ha az építőművészeti koncepció csupán értékelhető, azonban a funkcionális és szerkezeti rendszer koherens összhangban van.</w:t>
      </w:r>
    </w:p>
    <w:p w14:paraId="7EC086F6" w14:textId="77777777" w:rsidR="00B5499E" w:rsidRPr="00744D3A" w:rsidRDefault="00B5499E" w:rsidP="00B5499E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Jónak mondható a terv, amennyiben az építőművészeti koncepció megalapozott és koherens összefüggésben áll a funkcionális és szerkezeti összefüggésekkel.</w:t>
      </w:r>
    </w:p>
    <w:p w14:paraId="3B06832E" w14:textId="77777777" w:rsidR="00B5499E" w:rsidRPr="00D21BE4" w:rsidRDefault="00B5499E" w:rsidP="00B5499E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.</w:t>
      </w:r>
    </w:p>
    <w:p w14:paraId="03E34046" w14:textId="77777777" w:rsidR="00B5499E" w:rsidRPr="00D21BE4" w:rsidRDefault="00B5499E" w:rsidP="00B5499E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2578A0" w14:textId="77777777" w:rsidR="00B5499E" w:rsidRDefault="00B5499E" w:rsidP="00B5499E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Pr="00D21BE4">
        <w:rPr>
          <w:rFonts w:ascii="Garamond" w:hAnsi="Garamond"/>
          <w:sz w:val="20"/>
          <w:szCs w:val="20"/>
          <w:lang w:val="hu-HU"/>
        </w:rPr>
        <w:t>:</w:t>
      </w:r>
    </w:p>
    <w:p w14:paraId="789158A1" w14:textId="77777777" w:rsidR="00B5499E" w:rsidRPr="00D21BE4" w:rsidRDefault="00B5499E" w:rsidP="00B5499E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B5499E" w:rsidRPr="00D21BE4" w14:paraId="0983D2E1" w14:textId="77777777" w:rsidTr="004F7EFD">
        <w:tc>
          <w:tcPr>
            <w:tcW w:w="1983" w:type="dxa"/>
          </w:tcPr>
          <w:p w14:paraId="7B0215C4" w14:textId="77777777" w:rsidR="00B5499E" w:rsidRPr="00D21BE4" w:rsidRDefault="00B5499E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1A09F505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0B097B30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05C7A706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575F48B3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D74EBB7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B5499E" w:rsidRPr="00D21BE4" w14:paraId="4D107C89" w14:textId="77777777" w:rsidTr="004F7EFD">
        <w:tc>
          <w:tcPr>
            <w:tcW w:w="1983" w:type="dxa"/>
          </w:tcPr>
          <w:p w14:paraId="213DBDE8" w14:textId="77777777" w:rsidR="00B5499E" w:rsidRPr="00D21BE4" w:rsidRDefault="00B5499E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58AB41A6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3D026B60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0DE1533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02DFF868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65496E11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B5499E" w:rsidRPr="00D21BE4" w14:paraId="39228DEE" w14:textId="77777777" w:rsidTr="004F7EFD">
        <w:tc>
          <w:tcPr>
            <w:tcW w:w="1983" w:type="dxa"/>
          </w:tcPr>
          <w:p w14:paraId="0C867601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Ponthatárok:</w:t>
            </w:r>
          </w:p>
        </w:tc>
        <w:tc>
          <w:tcPr>
            <w:tcW w:w="1416" w:type="dxa"/>
          </w:tcPr>
          <w:p w14:paraId="1D69BCDD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417" w:type="dxa"/>
          </w:tcPr>
          <w:p w14:paraId="7C7F1C1C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%-84%</w:t>
            </w:r>
          </w:p>
        </w:tc>
        <w:tc>
          <w:tcPr>
            <w:tcW w:w="1417" w:type="dxa"/>
          </w:tcPr>
          <w:p w14:paraId="3366565C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80BC862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71343F2" w14:textId="77777777" w:rsidR="00B5499E" w:rsidRPr="00D21BE4" w:rsidRDefault="00B5499E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7DABB667" w14:textId="77777777" w:rsidR="00B5499E" w:rsidRDefault="00B5499E" w:rsidP="00B5499E">
      <w:pPr>
        <w:rPr>
          <w:lang w:val="hu-HU"/>
        </w:rPr>
      </w:pPr>
    </w:p>
    <w:p w14:paraId="3F81908B" w14:textId="77777777" w:rsidR="00B5499E" w:rsidRDefault="00B5499E" w:rsidP="00B5499E">
      <w:pPr>
        <w:rPr>
          <w:lang w:val="hu-HU"/>
        </w:rPr>
      </w:pPr>
    </w:p>
    <w:p w14:paraId="6892F98A" w14:textId="77777777" w:rsidR="00B5499E" w:rsidRPr="00BB4507" w:rsidRDefault="00B5499E" w:rsidP="00B5499E">
      <w:pPr>
        <w:rPr>
          <w:lang w:val="hu-HU"/>
        </w:rPr>
      </w:pPr>
    </w:p>
    <w:p w14:paraId="697C0330" w14:textId="77777777" w:rsidR="00B5499E" w:rsidRDefault="00B5499E" w:rsidP="00B5499E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55934365" w14:textId="77777777" w:rsidR="00B5499E" w:rsidRPr="00B553F1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0D8D564E" w14:textId="77777777" w:rsidR="00B5499E" w:rsidRPr="001B4131" w:rsidRDefault="00B5499E" w:rsidP="00B5499E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0234B54C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3B1BD89C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3651B4C3" w14:textId="77777777" w:rsidR="00B5499E" w:rsidRPr="00B553F1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77907062" w14:textId="77777777" w:rsidR="00B5499E" w:rsidRPr="001B4131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7B344DBE" w14:textId="77777777" w:rsidR="00B5499E" w:rsidRDefault="00B5499E" w:rsidP="00B5499E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209772D4" w14:textId="77777777" w:rsidR="00B5499E" w:rsidRPr="00872F3A" w:rsidRDefault="00B5499E" w:rsidP="00B5499E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6D1CEBC8" w14:textId="77777777" w:rsidR="00B5499E" w:rsidRDefault="00B5499E" w:rsidP="00B5499E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098E3D6A" w14:textId="77777777" w:rsidR="00B5499E" w:rsidRPr="00B553F1" w:rsidRDefault="00B5499E" w:rsidP="00B5499E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30D6B266" w14:textId="77777777" w:rsidR="00B5499E" w:rsidRPr="006541F1" w:rsidRDefault="00B5499E" w:rsidP="00B5499E">
      <w:pPr>
        <w:rPr>
          <w:lang w:val="hu-HU"/>
        </w:rPr>
      </w:pPr>
    </w:p>
    <w:p w14:paraId="3786B0F2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frontális jellegű előadások a módszertan kisebb szeletét teszik ki. A hangsúly az aktív tanuláson és a kritikai szemléleten van. Proaktív szemlélet szükséges.</w:t>
      </w:r>
    </w:p>
    <w:p w14:paraId="453F0F1A" w14:textId="77777777" w:rsidR="00B5499E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1F333476" w14:textId="77777777" w:rsidR="00B5499E" w:rsidRDefault="00B5499E" w:rsidP="00B5499E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0A704872" w14:textId="77777777" w:rsidR="00B5499E" w:rsidRPr="00B553F1" w:rsidRDefault="00B5499E" w:rsidP="00B5499E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1097EC06" w14:textId="77777777" w:rsidR="00B5499E" w:rsidRPr="00B6335B" w:rsidRDefault="00B5499E" w:rsidP="00B5499E">
      <w:pPr>
        <w:rPr>
          <w:lang w:val="hu-HU"/>
        </w:rPr>
      </w:pPr>
    </w:p>
    <w:p w14:paraId="2F4654E8" w14:textId="77777777" w:rsidR="00B5499E" w:rsidRPr="00D21BE4" w:rsidRDefault="00B5499E" w:rsidP="00B5499E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érdekében, hogy mindenki számára egyenlő feltételeket, tanulási környezetet tudjunk biztosítani. Bárminemű speciális tanulási igény esetén kérjük mielőbb értesíteni a kurzus felelősét vagy a szakmai intézet vezetőségét!</w:t>
      </w:r>
    </w:p>
    <w:p w14:paraId="383420FF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2E2B2E0" w14:textId="77777777" w:rsidR="00B5499E" w:rsidRPr="00B553F1" w:rsidRDefault="00B5499E" w:rsidP="00B5499E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0DF505DB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0"/>
          <w:szCs w:val="20"/>
          <w:lang w:val="hu-HU"/>
        </w:rPr>
      </w:pPr>
    </w:p>
    <w:p w14:paraId="0BEE6B2B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M1</w:t>
      </w:r>
      <w:r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Funkcióprogram</w:t>
        </w:r>
      </w:hyperlink>
    </w:p>
    <w:p w14:paraId="54920478" w14:textId="77777777" w:rsidR="00B5499E" w:rsidRPr="00CC278D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>M2</w:t>
      </w: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Szervezeti felépítés</w:t>
      </w:r>
    </w:p>
    <w:p w14:paraId="00C2641D" w14:textId="77777777" w:rsidR="00B5499E" w:rsidRPr="00CC278D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M3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C874AF5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M4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2D53691B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73F3F66A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714136E4" w14:textId="77777777" w:rsidR="00B5499E" w:rsidRPr="00614A02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6DE3C8BA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  <w:t xml:space="preserve">Dr.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56988A2B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34F9848A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635E71B4" w14:textId="77777777" w:rsidR="00B5499E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393D02D9" w14:textId="77777777" w:rsidR="00B5499E" w:rsidRDefault="00B5499E" w:rsidP="00B5499E">
      <w:pPr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br w:type="page"/>
      </w:r>
    </w:p>
    <w:p w14:paraId="74A30D5B" w14:textId="77777777" w:rsidR="00B5499E" w:rsidRDefault="00B5499E" w:rsidP="00B5499E">
      <w:pPr>
        <w:pStyle w:val="Cmsor2"/>
        <w:rPr>
          <w:lang w:val="hu-HU"/>
        </w:rPr>
      </w:pPr>
      <w:r>
        <w:rPr>
          <w:lang w:val="hu-HU"/>
        </w:rPr>
        <w:lastRenderedPageBreak/>
        <w:t>Program heti bontásban</w:t>
      </w:r>
    </w:p>
    <w:p w14:paraId="2E4443B0" w14:textId="77777777" w:rsidR="00B5499E" w:rsidRDefault="00B5499E" w:rsidP="00B5499E">
      <w:pPr>
        <w:pStyle w:val="Nincstrkz"/>
        <w:jc w:val="both"/>
        <w:rPr>
          <w:rStyle w:val="None"/>
          <w:bCs/>
          <w:sz w:val="20"/>
          <w:szCs w:val="20"/>
        </w:rPr>
      </w:pPr>
    </w:p>
    <w:p w14:paraId="0BE57282" w14:textId="77777777" w:rsidR="00B5499E" w:rsidRDefault="00B5499E" w:rsidP="00B5499E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pPr w:leftFromText="141" w:rightFromText="141" w:vertAnchor="text" w:tblpX="5" w:tblpY="1"/>
        <w:tblOverlap w:val="never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1274"/>
        <w:gridCol w:w="4538"/>
        <w:gridCol w:w="2549"/>
      </w:tblGrid>
      <w:tr w:rsidR="00B5499E" w14:paraId="125BF4ED" w14:textId="77777777" w:rsidTr="00B5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C66A836" w14:textId="77777777" w:rsidR="00B5499E" w:rsidRPr="00696290" w:rsidRDefault="00B5499E" w:rsidP="00B5499E">
            <w:pPr>
              <w:keepNext/>
              <w:jc w:val="left"/>
              <w:rPr>
                <w:rFonts w:ascii="Garamond" w:hAnsi="Garamond"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Hét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950084C" w14:textId="77777777" w:rsidR="00B5499E" w:rsidRPr="00696290" w:rsidRDefault="00B5499E" w:rsidP="00B5499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Aktivitás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5AF5A5" w14:textId="77777777" w:rsidR="00B5499E" w:rsidRPr="00696290" w:rsidRDefault="00B5499E" w:rsidP="00B5499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Cél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8E90F5" w14:textId="77777777" w:rsidR="00B5499E" w:rsidRPr="00696290" w:rsidRDefault="00B5499E" w:rsidP="00B5499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Értékelés</w:t>
            </w:r>
          </w:p>
        </w:tc>
      </w:tr>
      <w:tr w:rsidR="00B5499E" w14:paraId="22E9185D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CCFED7B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FD66929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F8D563C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>Orientáció</w:t>
            </w:r>
          </w:p>
          <w:p w14:paraId="4C321DE1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 xml:space="preserve">Tantárgy vagy kurzusfelvétellel kapcsolatos kérdések feltehetőek a TEAMS csoportban vagy e-mailben: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zilahi.peter@mik.pte.hu</w:t>
            </w:r>
          </w:p>
          <w:p w14:paraId="39B111A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FF60D3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8327616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B5499E" w14:paraId="56A8083D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358709D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2E5262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BF58E5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61A5B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1E898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9022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834DE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4FB9D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99EFF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985FD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A1143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C9177C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AC88B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05F7F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06F25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8B8FD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1A8A6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3C034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55C828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EC5D7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Nyitókonferencia: É81 előadótér</w:t>
            </w:r>
          </w:p>
          <w:p w14:paraId="28CA18D2" w14:textId="77777777" w:rsidR="00B5499E" w:rsidRPr="00832616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 w:rsidRPr="00832616"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  <w:t>2023. 09. 14., csütörtök</w:t>
            </w:r>
          </w:p>
          <w:p w14:paraId="6C26E89D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B6C785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9.00-9.45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Tematikaismertetés</w:t>
            </w:r>
          </w:p>
          <w:p w14:paraId="1E111628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10.00-10.45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Feladatismertetés</w:t>
            </w:r>
          </w:p>
          <w:p w14:paraId="108BB20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11.00-11.45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Nagy Bence, szállodaigazgató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</w:p>
          <w:p w14:paraId="5A39AAE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hotelek működésének </w:t>
            </w:r>
          </w:p>
          <w:p w14:paraId="715E637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funkcionális alapvetései</w:t>
            </w:r>
          </w:p>
          <w:p w14:paraId="4D1BB11D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6685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11.45-13.00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E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bédszünet</w:t>
            </w:r>
          </w:p>
          <w:p w14:paraId="0A174D34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F9868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13.00-13.45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Kovács-Andor Krisztián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</w:p>
          <w:p w14:paraId="11A9C8B3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Villány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arculata</w:t>
            </w:r>
            <w:proofErr w:type="spellEnd"/>
          </w:p>
          <w:p w14:paraId="39853998" w14:textId="77777777" w:rsidR="00B5499E" w:rsidRPr="008D210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14.00-14.45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Tamás Anna Mária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Fenntarthatóság</w:t>
            </w:r>
          </w:p>
          <w:p w14:paraId="46FF496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15.00-16.30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Sztranyák Gergely: </w:t>
            </w:r>
          </w:p>
          <w:p w14:paraId="4AAF84F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Szerkezettani módszertan</w:t>
            </w:r>
          </w:p>
          <w:p w14:paraId="4A8D4A2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61AFA1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Helyszínbejárás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9B6C9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B088B">
              <w:rPr>
                <w:rFonts w:ascii="Garamond" w:hAnsi="Garamond"/>
                <w:sz w:val="20"/>
                <w:szCs w:val="20"/>
                <w:lang w:val="hu-HU"/>
              </w:rPr>
              <w:t>Jelenlét</w:t>
            </w:r>
          </w:p>
          <w:p w14:paraId="1CA179B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C6C59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97B5A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1FD81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B2258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9567BD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D9D21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5E17F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CA6DD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E4CEC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DCD9C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9B269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25635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603E8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4B463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D173E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5899DE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Közös, szóbeli kiértékelés a következő konzultáción</w:t>
            </w:r>
          </w:p>
          <w:p w14:paraId="1413CCE4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B5499E" w14:paraId="28BA3138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750FBF5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DE99C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1EBE54D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C9850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0093C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33769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596B9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80D5B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94D73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3911B9E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162AC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57446A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C6274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DE207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88F71B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520AF53D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6F0AF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4055FFC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3FF261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7942570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1218B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4BD91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D4E7D5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CEA17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6A164F6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F1F949" w14:textId="77777777" w:rsidR="00B5499E" w:rsidRPr="00C4042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01F56CE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3F602F8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0C958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D05493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4955A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C67E81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3FC74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4ECD7BB6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C0FCB6F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FC44C1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E67B61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17F4DB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194D60" w14:textId="77777777" w:rsidR="00B5499E" w:rsidRPr="00696290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58A4C9A2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09FF06EA" w14:textId="77777777" w:rsidR="00B5499E" w:rsidRPr="00696155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155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B9031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FB9740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A44FF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9C650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DCEE0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A346C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DEEC6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20EAE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4E0DA4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22329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FB23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88B18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10575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F3C51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  <w:p w14:paraId="02DD534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D0CD0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85606D3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507423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1484585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3E554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5A63C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B3959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7EFE8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AF742C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C8CB6B" w14:textId="77777777" w:rsidR="00B5499E" w:rsidRPr="00C4042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2430918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764BB0B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C78A6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14E86F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kielemzése, minimum 3 telepítési lehetőség vizsgálata első sorban a közlekedési útvonalak és a települési környezet viszonylatában</w:t>
            </w:r>
          </w:p>
          <w:p w14:paraId="4725B67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D5489A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6D4EE1DB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3B8B5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355C6689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D673E1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285DF9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A9EE21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212534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9D251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B5499E" w14:paraId="2A3A07B3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44D8235E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D1ACF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0E5FF3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27D89C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1B36C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10BBC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0058B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596B9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81F97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4B3F9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0D442A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0EBC1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53998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348BB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E162A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931CE0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C7A6A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B511002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E01789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72F3B18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EE117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2197B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C52C6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445F3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0613A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212DCB5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DF5765" w14:textId="77777777" w:rsidR="00B5499E" w:rsidRPr="00C4042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3728A8C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2DDF306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50F16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48E9C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6A3D8BC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562911C3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9B3AF6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5E31B00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3AF36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97B8A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129519B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08835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A3256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DEABD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74607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A619D7" w14:textId="77777777" w:rsidR="00B5499E" w:rsidRPr="00696290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6212A099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F463985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194E7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29E469C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BAA76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5B4BF0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212757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931605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64920E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E80F69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480FE8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3B1950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EAEFD6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A3CBD7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73DAF5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47D458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4E1DFB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84FE00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B52F62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8BA7FE0" w14:textId="77777777" w:rsidR="00B5499E" w:rsidRPr="00D16CD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hu-HU"/>
              </w:rPr>
              <w:t>Konzultáció</w:t>
            </w:r>
          </w:p>
          <w:p w14:paraId="65C88D5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9E2273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406DA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25F4383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251E722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1C0EDF0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18F99C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7D0AB5D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1EEED77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BCBE371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E13446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Esettanulmányok bemutatása</w:t>
            </w:r>
          </w:p>
          <w:p w14:paraId="459F538C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.00</w:t>
            </w:r>
          </w:p>
          <w:p w14:paraId="0C54EDD7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1350BA0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.10.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09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5B0BCDA5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maximum 120 másodperces prezentációban be kell mutatni a választott épületet. A prezentáció fókuszában a ház szerkezeti-téri-funkcionális összefüggéseit kell előtérbe helyezni.</w:t>
            </w:r>
          </w:p>
          <w:p w14:paraId="6EDD0895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09F2D92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prezentációk sorrendjét és a választott épületeket a TEAMS „ET”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65A4142D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2A6EFE4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394DED19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D8DA7CD" w14:textId="77777777" w:rsidR="00B5499E" w:rsidRPr="00320581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E6B6DD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3A62A40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3AA9B4" w14:textId="77777777" w:rsidR="00B5499E" w:rsidRPr="00C4042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668D5B7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7FA046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878AA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>Alaprajzi vázlatok kiértékelése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m</w:t>
            </w: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 xml:space="preserve">etszetek alapján a szerkezeti lehetőségek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közös vizsgálata.</w:t>
            </w:r>
          </w:p>
          <w:p w14:paraId="43E015F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B6AB8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DE0506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6873818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3C394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6D7B6F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251EBA" w14:textId="77777777" w:rsidR="00B5499E" w:rsidRPr="000C0C2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ozás</w:t>
            </w: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maximum 10 pont</w:t>
            </w:r>
          </w:p>
          <w:p w14:paraId="25189166" w14:textId="77777777" w:rsidR="00B5499E" w:rsidRPr="000C0C2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8EC900" w14:textId="77777777" w:rsidR="00B5499E" w:rsidRPr="000C0C2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12C1E1C4" w14:textId="77777777" w:rsidR="00B5499E" w:rsidRPr="000C0C2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épületszerkezeti megoldások bemutatása</w:t>
            </w:r>
          </w:p>
          <w:p w14:paraId="32FECABC" w14:textId="77777777" w:rsidR="00B5499E" w:rsidRPr="000C0C2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73B4606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69E3C5B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2248CB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F36374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DF32B2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4CB764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9920BA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0C842B2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77351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3D156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6B5DB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CF7505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D29E3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0C275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4E884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CEEACE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031704DA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FA7FD85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7.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B5E5C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5F3C027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386C6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A3499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24BED9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5E6A6B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97047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9414D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F13A0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384BECF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CFACE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2A0C7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2C06B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09A49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FD25F3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A5D25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3B831F35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5118BC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22EAE0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D7123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E1BED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63EEB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C8BDE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2B7E85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5AA1A88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CB38C2" w14:textId="77777777" w:rsidR="00B5499E" w:rsidRPr="00C4042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3D4D2BA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490F3A5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DFE77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BEC679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08D0E36E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B1B3C6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4C4A915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B68B5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0CBFE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1D29FFD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47D01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07C48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0C0AC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07091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F41D5A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0759B97C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521DC1D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0611D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46E8272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32AAC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CF7E0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236AB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C134C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12E21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78EC8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1755F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495A2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14E60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C8B20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6234D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912F5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D0CD6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65C5B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85F8FC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1C381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9F851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0C0D36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7B551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7CF7A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358B6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3197B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95B17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C5908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4729C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1B2FE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09A4F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0B18E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C67EE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003F5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8B908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34584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2C199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DDFEA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2F7E6BB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F6FD4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60918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BB82A4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8FB9ED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Kritikus konzultáció</w:t>
            </w:r>
          </w:p>
          <w:p w14:paraId="58DC859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</w:p>
          <w:p w14:paraId="1EFE29E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7997AC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2022.10.2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7607D631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4609DA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perceben, digitális prezentációval kell bemutatni a tervezési folyamat aktuális állását.</w:t>
            </w:r>
          </w:p>
          <w:p w14:paraId="25B114F5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57DB7EC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prezentációk sorrendjét a TEAMS „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KK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1305A610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C078AC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 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24E2358E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152D3E9D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koncepcióábrák</w:t>
            </w:r>
          </w:p>
          <w:p w14:paraId="03C7BF17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20FA95B9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</w:t>
            </w:r>
          </w:p>
          <w:p w14:paraId="484E8ECE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alaprajzok minden eltérő szintről</w:t>
            </w:r>
          </w:p>
          <w:p w14:paraId="08C9624F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</w:t>
            </w:r>
          </w:p>
          <w:p w14:paraId="30CD32A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és </w:t>
            </w:r>
            <w:proofErr w:type="spellStart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3 db látványterv</w:t>
            </w:r>
          </w:p>
          <w:p w14:paraId="4B1C6B0F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1C44021B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78118F9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4BF50A7" w14:textId="77777777" w:rsidR="00B5499E" w:rsidRPr="00320581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A85EF9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0F45FE74" w14:textId="77777777" w:rsidR="00B5499E" w:rsidRPr="002D3B14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kritikus konzultációval párhuzamosan, 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0B3F664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1A42BBB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D27DE6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4D8BF27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CE22317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68EAFE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0BF09D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tervezés folytatása. 1:200 léptékű alaprajzok és metszetek készítése szükséges, amelyeket ki kell egészíteni skiccekkel, téri ábrákkal.</w:t>
            </w:r>
          </w:p>
          <w:p w14:paraId="131A5E7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Szerkezeti, csomóponti lehetőségek vizsgálata szükséges.</w:t>
            </w:r>
          </w:p>
          <w:p w14:paraId="75A62A15" w14:textId="77777777" w:rsidR="00B5499E" w:rsidRPr="008D589B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A94C56" w14:textId="77777777" w:rsidR="00B5499E" w:rsidRPr="002C13C5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20 pont</w:t>
            </w:r>
          </w:p>
          <w:p w14:paraId="33E2378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878863F" w14:textId="77777777" w:rsidR="00B5499E" w:rsidRPr="002C13C5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12C2C75A" w14:textId="77777777" w:rsidR="00B5499E" w:rsidRPr="002C13C5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ember, az épített- és a természeti környezet közötti kapcsolatok</w:t>
            </w:r>
          </w:p>
          <w:p w14:paraId="55667E78" w14:textId="77777777" w:rsidR="00B5499E" w:rsidRPr="002C13C5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konstruálási megoldások</w:t>
            </w:r>
          </w:p>
          <w:p w14:paraId="580E92F7" w14:textId="77777777" w:rsidR="00B5499E" w:rsidRPr="002C13C5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4228F19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37C9CC6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B295D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52BCCA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C55D65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40C94A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1AEDA3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BF5BE1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D89E04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D6EDE6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1157467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C37721D" w14:textId="77777777" w:rsidR="00B5499E" w:rsidRPr="00A769E8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56219A6D" w14:textId="77777777" w:rsidR="00B5499E" w:rsidRPr="00A769E8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622E23E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1F24731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602434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330B7D6A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182D6E51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EDC99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A5C114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0FC60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2DEB3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A4840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6ACB0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FC93E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C1F6A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1F5AC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37EB3BE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66914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E0CBC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F7645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ED15AE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9884EB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2FE5A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268A90BD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DF69EB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11EF2C3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81387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60F7D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0FCFB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9F66B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340A7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08815EF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25731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45BC094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BCA1D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988B2B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5B1FCBF5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6DE05FF3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CDE756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1D30A40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11C64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F0B044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3EA7012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E36CCA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D1496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F94A2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9ECFA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90FB74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4BC73D4D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AD7111D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B87BE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4B76E64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6CE79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FD75B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9A53A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88543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14537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D2FBF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19C0D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4B08178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7C6A7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0C525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BE71B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1CA11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5BD620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2787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A4379C5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A331A3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64B4277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5AAD4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B5C38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1BB46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E434B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C67EB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6AF8DC9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348FE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4382AB7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F83CA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3AF53B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7CDEC53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0941386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1CDA40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ED8A2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22D9461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462D75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EC0F8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211C8F9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BDCD7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7FB210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DEB7E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41D33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50A498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B5499E" w14:paraId="5A5F18E2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358783E5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DBC8A0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4CAC733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CC338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E1D799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18F7B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9E3762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39889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3B014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AD89A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0E871C6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05A10A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3DEA6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5738E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2FDA6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DB6AE2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A0071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7D3BDC08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751C55" w14:textId="77777777" w:rsidR="00B5499E" w:rsidRPr="00E37DBB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3CCEBC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7E17B8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B60D34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96E23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70A55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83697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237123D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78B86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20467A2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C9930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1AFB84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Tervezési napló: tervezés folytatása. 1:200 léptékű alaprajzok és metszetek és homlokzatok készítése szükséges, amelyeket ki kell egészíteni skiccekkel, téri ábrákkal.</w:t>
            </w:r>
          </w:p>
          <w:p w14:paraId="502FCDB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Szerkezeti, csomóponti lehetőségek vizsgálata szükséges, melyekhez 1:50 léptékű homlokzatrészlet és főfalmetszet készítése szükséges.</w:t>
            </w:r>
          </w:p>
          <w:p w14:paraId="54F3F2B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B365BF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56530F40" w14:textId="77777777" w:rsidR="00B5499E" w:rsidRPr="00696290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7CF34D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138E9DC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4795B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484137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8FA8E61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35104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BF5DE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82FB8D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F941BE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5BD09F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B5499E" w14:paraId="21668CD5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D4A8DFE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5EE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0063C41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42549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B512C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9F47C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912FB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E0C04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3CFEC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068E0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D8380C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F125A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3DF77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4A955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50555E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EE7CF69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0CEE4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11EBCE3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414427" w14:textId="77777777" w:rsidR="00B5499E" w:rsidRPr="00E37DBB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29E0776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510E7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A4F4F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55E29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E1E23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B03663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6E236F12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68F01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34CF613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D18A6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B7117F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0926EF96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C1F4AE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CD490F9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CA918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3D9F4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2E13C88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0087D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67D75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BCD9B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F9AC74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59CFF6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  <w:p w14:paraId="198BC08C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B5499E" w14:paraId="2CBD6922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6359647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D305E7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9615CE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2ACF641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713FAD01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DCF9B9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2022.11.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27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6264F982" w14:textId="77777777" w:rsidR="00B5499E" w:rsidRPr="00AF7921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A 13. heti záróprezentációhoz regisztrációt kérünk, melynek határideje: 2022.11.2</w:t>
            </w: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., 23.59, TEAMS</w:t>
            </w:r>
          </w:p>
          <w:p w14:paraId="56C4DF1F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Amennyiben ezen a záróprezentáción kevesen vesznek részt, a prezentációk után konzultáció következik.</w:t>
            </w:r>
          </w:p>
          <w:p w14:paraId="59B07B81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27EFC7F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3CA97EE9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D768444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56BCF374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29D47F4F" w14:textId="77777777" w:rsidR="00B5499E" w:rsidRPr="00C150F2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824CF31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172D6E4F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44ED8891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679D0188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0D50BCF7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6D6DFB30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2F4A47C4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4FAFF043" w14:textId="77777777" w:rsidR="00B5499E" w:rsidRPr="00B53BF9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2BA10DD0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5C9BA560" w14:textId="77777777" w:rsidR="00B5499E" w:rsidRPr="00C150F2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5A243249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39A9EF44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74CC7E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679D348B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adja, figyelembe véve a konzultációk során bemutatott rajzok mennyiségét és szellemi minőségét.</w:t>
            </w:r>
          </w:p>
          <w:p w14:paraId="14F5939D" w14:textId="77777777" w:rsidR="00B5499E" w:rsidRPr="00696290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2C9CB8" w14:textId="77777777" w:rsidR="00B5499E" w:rsidRPr="009A6D86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60 pont</w:t>
            </w:r>
          </w:p>
          <w:p w14:paraId="4684F88A" w14:textId="77777777" w:rsidR="00B5499E" w:rsidRPr="009A6D86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63F9AB9" w14:textId="77777777" w:rsidR="00B5499E" w:rsidRPr="009A6D86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011FAE30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376A080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9C2F545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7483F9E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9BD6B70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CF75C4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BE59E05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2EBFA0A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1E40B6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49649FB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A0FAAD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EBD9D2F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B43E1D9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63C3081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E1D8347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D422064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CE1A838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7FF4AFB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7EC428C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DC1B3A7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B15C962" w14:textId="77777777" w:rsidR="00B5499E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DDBABE3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1F5E03E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4C85FB3" w14:textId="77777777" w:rsidR="00B5499E" w:rsidRPr="00A769E8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460C4B5D" w14:textId="77777777" w:rsidR="00B5499E" w:rsidRPr="00A769E8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- egyszerre és arányosan alkalmazza az intuitív és az ismereteken alapuló megközelítéseket</w:t>
            </w:r>
          </w:p>
          <w:p w14:paraId="60B41A02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785695CA" w14:textId="77777777" w:rsidR="00B5499E" w:rsidRPr="00696290" w:rsidRDefault="00B5499E" w:rsidP="00B549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B5499E" w14:paraId="3C4E791F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97715D7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8DC6CC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22107D51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A453E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5433D00F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1B520" w14:textId="77777777" w:rsidR="00B5499E" w:rsidRPr="00696290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B5499E" w14:paraId="4C75BC2B" w14:textId="77777777" w:rsidTr="00B5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98974B4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EDA16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0111366B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6151BC" w14:textId="77777777" w:rsidR="00B5499E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0C8948E2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BDABD5" w14:textId="77777777" w:rsidR="00B5499E" w:rsidRPr="00696290" w:rsidRDefault="00B5499E" w:rsidP="00B5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B5499E" w14:paraId="75018C2B" w14:textId="77777777" w:rsidTr="00B5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5BC09F24" w14:textId="77777777" w:rsidR="00B5499E" w:rsidRPr="00696290" w:rsidRDefault="00B5499E" w:rsidP="00B5499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A5FE40" w14:textId="77777777" w:rsidR="00B5499E" w:rsidRPr="00DA569A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178C6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507148BE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5008342" w14:textId="77777777" w:rsidR="00B5499E" w:rsidRPr="00DA569A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2023. december 20</w:t>
            </w:r>
            <w:r w:rsidRPr="00DA569A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</w:t>
            </w:r>
          </w:p>
          <w:p w14:paraId="1FB8337A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789B8125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0B660A1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19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6FA5C17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44FB4520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697B4AA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34FAC80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[a menetrend szerinti sorszám]_[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13D7BE16" w14:textId="77777777" w:rsidR="00B5499E" w:rsidRPr="00C150F2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6A3FECC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6C72C9C6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0AB39FD4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280734E6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37852DD4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0B3BE26E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136A4338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6EA18A17" w14:textId="77777777" w:rsidR="00B5499E" w:rsidRPr="00B53BF9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463B90E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76322A1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7D863F3F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22355464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2F34795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7A0E155D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095682E8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E8A3F8" w14:textId="77777777" w:rsidR="00B5499E" w:rsidRPr="009A6D86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60 pont</w:t>
            </w:r>
          </w:p>
          <w:p w14:paraId="35E748F2" w14:textId="77777777" w:rsidR="00B5499E" w:rsidRPr="009A6D86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4E63C51" w14:textId="77777777" w:rsidR="00B5499E" w:rsidRPr="009A6D86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0FA49F15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3977B030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FAEE6D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3D9E7C6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99D5678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0B14A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82358EE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F176046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ED55803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99E4B3A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8B8A559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AC006D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7993F2C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D195247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F7638B9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56ADD42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FB714D4" w14:textId="77777777" w:rsidR="00B5499E" w:rsidRDefault="00B5499E" w:rsidP="00B549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DA6D96B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4EF8D87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15153B9A" w14:textId="77777777" w:rsidR="00B5499E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A9C4854" w14:textId="77777777" w:rsidR="00B5499E" w:rsidRPr="00A769E8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088FA000" w14:textId="77777777" w:rsidR="00B5499E" w:rsidRPr="00A769E8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08F9DF8B" w14:textId="77777777" w:rsidR="00B5499E" w:rsidRPr="00FB0E58" w:rsidRDefault="00B5499E" w:rsidP="00B5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</w:tc>
      </w:tr>
    </w:tbl>
    <w:p w14:paraId="576B420F" w14:textId="0DCDAD85" w:rsidR="00B5499E" w:rsidRPr="00D21BE4" w:rsidRDefault="00B5499E" w:rsidP="00B54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br w:type="textWrapping" w:clear="all"/>
      </w:r>
    </w:p>
    <w:p w14:paraId="48D21DC7" w14:textId="77777777" w:rsidR="00B5499E" w:rsidRDefault="00B5499E" w:rsidP="00B5499E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3FCD3D73" w14:textId="77777777" w:rsidR="00B5499E" w:rsidRPr="00D21BE4" w:rsidRDefault="00B5499E" w:rsidP="00B5499E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egyetemi docens</w:t>
      </w:r>
    </w:p>
    <w:p w14:paraId="3FBB3CAB" w14:textId="77777777" w:rsidR="00B5499E" w:rsidRPr="00D21BE4" w:rsidRDefault="00B5499E" w:rsidP="00B5499E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tantárgyfelelős</w:t>
      </w:r>
    </w:p>
    <w:p w14:paraId="37CE9BC6" w14:textId="77777777" w:rsidR="00B5499E" w:rsidRPr="00D21BE4" w:rsidRDefault="00B5499E" w:rsidP="00B5499E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2AB21B4A" w:rsidR="00C26163" w:rsidRPr="00D21BE4" w:rsidRDefault="00B5499E" w:rsidP="00B5499E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>
        <w:rPr>
          <w:rStyle w:val="None"/>
          <w:rFonts w:ascii="Garamond" w:hAnsi="Garamond"/>
          <w:bCs/>
          <w:sz w:val="20"/>
          <w:szCs w:val="20"/>
          <w:lang w:val="hu-HU"/>
        </w:rPr>
        <w:t>2023. 08. 28.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A932" w14:textId="77777777" w:rsidR="00276038" w:rsidRDefault="00276038" w:rsidP="007E74BB">
      <w:r>
        <w:separator/>
      </w:r>
    </w:p>
  </w:endnote>
  <w:endnote w:type="continuationSeparator" w:id="0">
    <w:p w14:paraId="0C2AEA7F" w14:textId="77777777" w:rsidR="00276038" w:rsidRDefault="0027603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2C2" w14:textId="77777777" w:rsidR="00276038" w:rsidRDefault="00276038" w:rsidP="007E74BB">
      <w:r>
        <w:separator/>
      </w:r>
    </w:p>
  </w:footnote>
  <w:footnote w:type="continuationSeparator" w:id="0">
    <w:p w14:paraId="3AD7A816" w14:textId="77777777" w:rsidR="00276038" w:rsidRDefault="0027603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7DAC5CBB" w:rsidR="00063EF9" w:rsidRPr="000D373E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color w:val="auto"/>
        <w:lang w:val="hu-HU"/>
      </w:rPr>
    </w:pPr>
    <w:r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Kurzus </w:t>
    </w:r>
    <w:r w:rsidR="00C754DE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kód: </w:t>
    </w:r>
    <w:r w:rsidR="00850CA8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EPM320MNEM</w:t>
    </w:r>
    <w:r w:rsidR="00063EF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ab/>
    </w:r>
    <w:r w:rsidR="00063EF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ab/>
    </w:r>
    <w:r w:rsidR="00591EB9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KEDD</w:t>
    </w:r>
    <w:r w:rsidR="00DE3DAD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 7.45-</w:t>
    </w:r>
    <w:r w:rsidR="00AE11C5" w:rsidRPr="000D373E">
      <w:rPr>
        <w:rFonts w:ascii="Calibri Light" w:hAnsi="Calibri Light" w:cs="Calibri Light"/>
        <w:b w:val="0"/>
        <w:bCs w:val="0"/>
        <w:caps/>
        <w:color w:val="auto"/>
        <w:lang w:val="hu-HU"/>
      </w:rPr>
      <w:t>15.45</w:t>
    </w:r>
  </w:p>
  <w:p w14:paraId="5FA1F5CD" w14:textId="101BCDCB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6760B1" w:rsidRPr="00DB6145">
      <w:rPr>
        <w:rFonts w:ascii="Calibri Light" w:hAnsi="Calibri Light" w:cs="Calibri Light"/>
        <w:b w:val="0"/>
        <w:bCs w:val="0"/>
        <w:caps/>
        <w:lang w:val="hu-HU"/>
      </w:rPr>
      <w:t>202</w:t>
    </w:r>
    <w:r w:rsidR="006760B1">
      <w:rPr>
        <w:rFonts w:ascii="Calibri Light" w:hAnsi="Calibri Light" w:cs="Calibri Light"/>
        <w:b w:val="0"/>
        <w:bCs w:val="0"/>
        <w:caps/>
        <w:lang w:val="hu-HU"/>
      </w:rPr>
      <w:t>3</w:t>
    </w:r>
    <w:r w:rsidR="006760B1" w:rsidRPr="00DB6145">
      <w:rPr>
        <w:rFonts w:ascii="Calibri Light" w:hAnsi="Calibri Light" w:cs="Calibri Light"/>
        <w:b w:val="0"/>
        <w:bCs w:val="0"/>
        <w:caps/>
        <w:lang w:val="hu-HU"/>
      </w:rPr>
      <w:t>/202</w:t>
    </w:r>
    <w:r w:rsidR="006760B1">
      <w:rPr>
        <w:rFonts w:ascii="Calibri Light" w:hAnsi="Calibri Light" w:cs="Calibri Light"/>
        <w:b w:val="0"/>
        <w:bCs w:val="0"/>
        <w:caps/>
        <w:lang w:val="hu-HU"/>
      </w:rPr>
      <w:t>4</w:t>
    </w:r>
    <w:r w:rsidR="006760B1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6760B1">
      <w:rPr>
        <w:rFonts w:ascii="Calibri Light" w:hAnsi="Calibri Light" w:cs="Calibri Light"/>
        <w:b w:val="0"/>
        <w:bCs w:val="0"/>
        <w:caps/>
        <w:lang w:val="hu-HU"/>
      </w:rPr>
      <w:t>tavasz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757CB2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D373E"/>
    <w:rsid w:val="000E231F"/>
    <w:rsid w:val="000E3296"/>
    <w:rsid w:val="000F1DA7"/>
    <w:rsid w:val="000F51CB"/>
    <w:rsid w:val="000F6F6C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4327F"/>
    <w:rsid w:val="0024496B"/>
    <w:rsid w:val="00251AB6"/>
    <w:rsid w:val="00254EF7"/>
    <w:rsid w:val="002609CA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C106B"/>
    <w:rsid w:val="005C7321"/>
    <w:rsid w:val="005E0484"/>
    <w:rsid w:val="005E3991"/>
    <w:rsid w:val="005E6683"/>
    <w:rsid w:val="005E6F71"/>
    <w:rsid w:val="005E76CA"/>
    <w:rsid w:val="005F061F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760B1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57CB2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0CA8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499E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F3C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table" w:customStyle="1" w:styleId="Tblzatrcsos7tarka1">
    <w:name w:val="Táblázat (rácsos) 7 – tarka1"/>
    <w:basedOn w:val="Normltblzat"/>
    <w:uiPriority w:val="52"/>
    <w:rsid w:val="00B54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09FF5-6D71-405B-8687-2DDA495AB325}"/>
</file>

<file path=customXml/itemProps3.xml><?xml version="1.0" encoding="utf-8"?>
<ds:datastoreItem xmlns:ds="http://schemas.openxmlformats.org/officeDocument/2006/customXml" ds:itemID="{79972D29-8061-41F3-9C8B-51FD461B3DB1}"/>
</file>

<file path=customXml/itemProps4.xml><?xml version="1.0" encoding="utf-8"?>
<ds:datastoreItem xmlns:ds="http://schemas.openxmlformats.org/officeDocument/2006/customXml" ds:itemID="{BBD6FFC7-E185-42E3-90B7-8CF3DD4D1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11</Pages>
  <Words>2901</Words>
  <Characters>20023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Zilahi Péter</cp:lastModifiedBy>
  <cp:revision>368</cp:revision>
  <cp:lastPrinted>2020-09-09T06:06:00Z</cp:lastPrinted>
  <dcterms:created xsi:type="dcterms:W3CDTF">2020-09-04T10:49:00Z</dcterms:created>
  <dcterms:modified xsi:type="dcterms:W3CDTF">2023-08-28T22:08:00Z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