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spacing w:before="320" w:after="80"/>
        <w:rPr/>
      </w:pPr>
      <w:bookmarkStart w:id="0" w:name="_hu2a11y1ezx"/>
      <w:bookmarkEnd w:id="0"/>
      <w:r>
        <w:rPr/>
        <w:t>Design of Microelectronic Systems</w:t>
        <w:tab/>
        <w:t xml:space="preserve"> - IVB275ANV</w:t>
      </w:r>
    </w:p>
    <w:p>
      <w:pPr>
        <w:pStyle w:val="Normal1"/>
        <w:rPr/>
      </w:pPr>
      <w:r>
        <w:rPr/>
      </w:r>
    </w:p>
    <w:p>
      <w:pPr>
        <w:pStyle w:val="Normal1"/>
        <w:rPr/>
      </w:pPr>
      <w:r>
        <w:rPr/>
        <w:t>Lecture/Practice/Lab:</w:t>
        <w:tab/>
        <w:t>2/0/2</w:t>
      </w:r>
    </w:p>
    <w:p>
      <w:pPr>
        <w:pStyle w:val="Normal1"/>
        <w:rPr/>
      </w:pPr>
      <w:r>
        <w:rPr/>
        <w:t>Credit points:</w:t>
        <w:tab/>
        <w:tab/>
        <w:t>4</w:t>
      </w:r>
    </w:p>
    <w:p>
      <w:pPr>
        <w:pStyle w:val="Normal1"/>
        <w:rPr/>
      </w:pPr>
      <w:r>
        <w:rPr/>
        <w:t>Requirement:</w:t>
        <w:tab/>
        <w:tab/>
        <w:t>Midterm grade</w:t>
      </w:r>
    </w:p>
    <w:p>
      <w:pPr>
        <w:pStyle w:val="Normal1"/>
        <w:rPr/>
      </w:pPr>
      <w:r>
        <w:rPr/>
        <w:t>Semester:</w:t>
        <w:tab/>
        <w:tab/>
      </w:r>
      <w:r>
        <w:rPr/>
        <w:t>2023-2024-2</w:t>
      </w:r>
    </w:p>
    <w:p>
      <w:pPr>
        <w:pStyle w:val="Normal1"/>
        <w:rPr/>
      </w:pPr>
      <w:r>
        <w:rPr/>
        <w:t>Prerequisites:</w:t>
        <w:tab/>
        <w:tab/>
        <w:t>Microcomputers</w:t>
      </w:r>
    </w:p>
    <w:p>
      <w:pPr>
        <w:pStyle w:val="Normal1"/>
        <w:rPr/>
      </w:pPr>
      <w:r>
        <w:rPr/>
        <w:t>Lecturer:</w:t>
        <w:tab/>
        <w:tab/>
      </w:r>
      <w:r>
        <w:rPr/>
        <w:t>Mahmoud Osman; Kisander Zsolt</w:t>
      </w:r>
    </w:p>
    <w:p>
      <w:pPr>
        <w:pStyle w:val="Normal1"/>
        <w:rPr/>
      </w:pPr>
      <w:r>
        <w:rPr/>
        <w:t>Department:</w:t>
        <w:tab/>
        <w:tab/>
        <w:t>Department of Automation</w:t>
      </w:r>
    </w:p>
    <w:p>
      <w:pPr>
        <w:pStyle w:val="Normal1"/>
        <w:rPr/>
      </w:pPr>
      <w:r>
        <w:rPr/>
      </w:r>
    </w:p>
    <w:p>
      <w:pPr>
        <w:pStyle w:val="Normal1"/>
        <w:jc w:val="both"/>
        <w:rPr/>
      </w:pPr>
      <w:r>
        <w:rPr/>
        <w:t>This subject provides an introduction to computer-aided PCB design. We study how to design embedded hardware and what are the common pitfalls of the design procedure. Students can use their preferred CAD software.</w:t>
      </w:r>
    </w:p>
    <w:p>
      <w:pPr>
        <w:pStyle w:val="Normal1"/>
        <w:jc w:val="both"/>
        <w:rPr/>
      </w:pPr>
      <w:r>
        <w:rPr/>
      </w:r>
    </w:p>
    <w:p>
      <w:pPr>
        <w:pStyle w:val="Heading4"/>
        <w:rPr/>
      </w:pPr>
      <w:bookmarkStart w:id="1" w:name="_aukta4gisutw"/>
      <w:bookmarkEnd w:id="1"/>
      <w:r>
        <w:rPr/>
        <w:t>Lecture topics</w:t>
      </w:r>
    </w:p>
    <w:p>
      <w:pPr>
        <w:pStyle w:val="Normal1"/>
        <w:rPr/>
      </w:pPr>
      <w:r>
        <w:rPr/>
        <w:t>Recommended readings are the relevant chapters from the textbook AND the datasheets of the currently popular components.</w:t>
      </w:r>
    </w:p>
    <w:p>
      <w:pPr>
        <w:pStyle w:val="Normal1"/>
        <w:rPr/>
      </w:pPr>
      <w:r>
        <w:rPr/>
      </w:r>
    </w:p>
    <w:p>
      <w:pPr>
        <w:pStyle w:val="Normal1"/>
        <w:numPr>
          <w:ilvl w:val="0"/>
          <w:numId w:val="2"/>
        </w:numPr>
        <w:ind w:hanging="360" w:left="720"/>
        <w:rPr>
          <w:u w:val="none"/>
        </w:rPr>
      </w:pPr>
      <w:r>
        <w:rPr/>
        <w:t>Overview of PCB design CAD softwares</w:t>
      </w:r>
    </w:p>
    <w:p>
      <w:pPr>
        <w:pStyle w:val="Normal1"/>
        <w:numPr>
          <w:ilvl w:val="0"/>
          <w:numId w:val="2"/>
        </w:numPr>
        <w:ind w:hanging="360" w:left="720"/>
        <w:rPr>
          <w:u w:val="none"/>
        </w:rPr>
      </w:pPr>
      <w:r>
        <w:rPr/>
        <w:t>Overview of hardware design steps</w:t>
      </w:r>
    </w:p>
    <w:p>
      <w:pPr>
        <w:pStyle w:val="Normal1"/>
        <w:numPr>
          <w:ilvl w:val="0"/>
          <w:numId w:val="2"/>
        </w:numPr>
        <w:ind w:hanging="360" w:left="720"/>
        <w:rPr/>
      </w:pPr>
      <w:r>
        <w:rPr/>
        <w:t>Revising PCB manufacturing methods and manufacturability</w:t>
      </w:r>
    </w:p>
    <w:p>
      <w:pPr>
        <w:pStyle w:val="Normal1"/>
        <w:numPr>
          <w:ilvl w:val="0"/>
          <w:numId w:val="2"/>
        </w:numPr>
        <w:ind w:hanging="360" w:left="720"/>
        <w:rPr>
          <w:u w:val="none"/>
        </w:rPr>
      </w:pPr>
      <w:r>
        <w:rPr/>
        <w:t>Abstract view and common building blocks of an electronic device</w:t>
      </w:r>
    </w:p>
    <w:p>
      <w:pPr>
        <w:pStyle w:val="Normal1"/>
        <w:numPr>
          <w:ilvl w:val="0"/>
          <w:numId w:val="2"/>
        </w:numPr>
        <w:ind w:hanging="360" w:left="720"/>
        <w:rPr>
          <w:u w:val="none"/>
        </w:rPr>
      </w:pPr>
      <w:r>
        <w:rPr/>
        <w:t>Modular topics</w:t>
      </w:r>
    </w:p>
    <w:p>
      <w:pPr>
        <w:pStyle w:val="Normal1"/>
        <w:numPr>
          <w:ilvl w:val="1"/>
          <w:numId w:val="2"/>
        </w:numPr>
        <w:ind w:hanging="360" w:left="1440"/>
        <w:rPr>
          <w:u w:val="none"/>
        </w:rPr>
      </w:pPr>
      <w:r>
        <w:rPr/>
        <w:t>Power supplies</w:t>
      </w:r>
    </w:p>
    <w:p>
      <w:pPr>
        <w:pStyle w:val="Normal1"/>
        <w:numPr>
          <w:ilvl w:val="1"/>
          <w:numId w:val="2"/>
        </w:numPr>
        <w:ind w:hanging="360" w:left="1440"/>
        <w:rPr>
          <w:u w:val="none"/>
        </w:rPr>
      </w:pPr>
      <w:r>
        <w:rPr/>
        <w:t>Sensors</w:t>
      </w:r>
    </w:p>
    <w:p>
      <w:pPr>
        <w:pStyle w:val="Normal1"/>
        <w:numPr>
          <w:ilvl w:val="1"/>
          <w:numId w:val="2"/>
        </w:numPr>
        <w:ind w:hanging="360" w:left="1440"/>
        <w:rPr/>
      </w:pPr>
      <w:r>
        <w:rPr/>
        <w:t>ADCs</w:t>
      </w:r>
    </w:p>
    <w:p>
      <w:pPr>
        <w:pStyle w:val="Normal1"/>
        <w:numPr>
          <w:ilvl w:val="1"/>
          <w:numId w:val="2"/>
        </w:numPr>
        <w:ind w:hanging="360" w:left="1440"/>
        <w:rPr>
          <w:u w:val="none"/>
        </w:rPr>
      </w:pPr>
      <w:r>
        <w:rPr/>
        <w:t>Microcontroller units</w:t>
      </w:r>
    </w:p>
    <w:p>
      <w:pPr>
        <w:pStyle w:val="Normal1"/>
        <w:numPr>
          <w:ilvl w:val="1"/>
          <w:numId w:val="2"/>
        </w:numPr>
        <w:ind w:hanging="360" w:left="1440"/>
        <w:rPr>
          <w:u w:val="none"/>
        </w:rPr>
      </w:pPr>
      <w:r>
        <w:rPr/>
        <w:t>Communication buses</w:t>
      </w:r>
    </w:p>
    <w:p>
      <w:pPr>
        <w:pStyle w:val="Normal1"/>
        <w:numPr>
          <w:ilvl w:val="1"/>
          <w:numId w:val="2"/>
        </w:numPr>
        <w:ind w:hanging="360" w:left="1440"/>
        <w:rPr>
          <w:u w:val="none"/>
        </w:rPr>
      </w:pPr>
      <w:r>
        <w:rPr/>
        <w:t>User interface devices</w:t>
      </w:r>
    </w:p>
    <w:p>
      <w:pPr>
        <w:pStyle w:val="Normal1"/>
        <w:numPr>
          <w:ilvl w:val="0"/>
          <w:numId w:val="2"/>
        </w:numPr>
        <w:ind w:hanging="360" w:left="720"/>
        <w:rPr>
          <w:u w:val="none"/>
        </w:rPr>
      </w:pPr>
      <w:r>
        <w:rPr/>
        <w:t>PCB design recommendations</w:t>
      </w:r>
    </w:p>
    <w:p>
      <w:pPr>
        <w:pStyle w:val="Normal1"/>
        <w:numPr>
          <w:ilvl w:val="0"/>
          <w:numId w:val="2"/>
        </w:numPr>
        <w:ind w:hanging="360" w:left="720"/>
        <w:rPr>
          <w:u w:val="none"/>
        </w:rPr>
      </w:pPr>
      <w:r>
        <w:rPr/>
        <w:t>Manufacturing output formats</w:t>
      </w:r>
    </w:p>
    <w:p>
      <w:pPr>
        <w:pStyle w:val="Normal1"/>
        <w:rPr/>
      </w:pPr>
      <w:r>
        <w:rPr/>
      </w:r>
    </w:p>
    <w:p>
      <w:pPr>
        <w:pStyle w:val="Heading4"/>
        <w:rPr/>
      </w:pPr>
      <w:bookmarkStart w:id="2" w:name="_f73hs78td976"/>
      <w:bookmarkEnd w:id="2"/>
      <w:r>
        <w:rPr/>
        <w:t>Practice topics</w:t>
      </w:r>
    </w:p>
    <w:p>
      <w:pPr>
        <w:pStyle w:val="Normal1"/>
        <w:ind w:hanging="0" w:left="0"/>
        <w:rPr/>
      </w:pPr>
      <w:r>
        <w:rPr/>
        <w:t xml:space="preserve">The practice follows the lecture materials. Students have to solve PCB design group projects with weekly presentations. </w:t>
      </w:r>
    </w:p>
    <w:p>
      <w:pPr>
        <w:pStyle w:val="Heading4"/>
        <w:rPr/>
      </w:pPr>
      <w:r>
        <w:rPr/>
      </w:r>
      <w:bookmarkStart w:id="3" w:name="_qaky41sorhqw"/>
      <w:bookmarkStart w:id="4" w:name="_qaky41sorhqw"/>
      <w:bookmarkEnd w:id="4"/>
      <w:r>
        <w:br w:type="page"/>
      </w:r>
    </w:p>
    <w:p>
      <w:pPr>
        <w:pStyle w:val="Heading4"/>
        <w:spacing w:before="0" w:after="80"/>
        <w:rPr/>
      </w:pPr>
      <w:bookmarkStart w:id="5" w:name="_t17f9y40id08"/>
      <w:bookmarkEnd w:id="5"/>
      <w:r>
        <w:rPr/>
        <w:t>Midterm requirements and fulfillment</w:t>
      </w:r>
    </w:p>
    <w:p>
      <w:pPr>
        <w:pStyle w:val="Normal1"/>
        <w:rPr/>
      </w:pPr>
      <w:r>
        <w:rPr/>
        <w:t>Students must be present on more than 70% of contact classes and/or consultations. Having more than 30% absence results in signature refusal.</w:t>
      </w:r>
    </w:p>
    <w:p>
      <w:pPr>
        <w:pStyle w:val="Normal1"/>
        <w:rPr/>
      </w:pPr>
      <w:r>
        <w:rPr/>
      </w:r>
    </w:p>
    <w:p>
      <w:pPr>
        <w:pStyle w:val="Normal1"/>
        <w:rPr/>
      </w:pPr>
      <w:r>
        <w:rPr/>
        <w:t>Midterm assessments:</w:t>
      </w:r>
    </w:p>
    <w:p>
      <w:pPr>
        <w:pStyle w:val="Normal1"/>
        <w:numPr>
          <w:ilvl w:val="0"/>
          <w:numId w:val="1"/>
        </w:numPr>
        <w:ind w:hanging="360" w:left="720"/>
        <w:rPr>
          <w:u w:val="none"/>
        </w:rPr>
      </w:pPr>
      <w:r>
        <w:rPr/>
        <w:t>Four or five design homeworks depending on the exact semester schedule (holidays, spring break, etc.). Students work in groups and present their design’s progress each week. The exact schedule will be voted on by the students.</w:t>
      </w:r>
    </w:p>
    <w:p>
      <w:pPr>
        <w:pStyle w:val="Normal1"/>
        <w:rPr/>
      </w:pPr>
      <w:r>
        <w:rPr/>
      </w:r>
    </w:p>
    <w:p>
      <w:pPr>
        <w:pStyle w:val="Normal1"/>
        <w:rPr/>
      </w:pPr>
      <w:r>
        <w:rPr/>
        <w:t>Students have to complete each assessment with a passing grade to get the signature and the midterm grade.  The midterm grade is the arithmetic mean of the assessment results.</w:t>
      </w:r>
    </w:p>
    <w:p>
      <w:pPr>
        <w:pStyle w:val="Normal1"/>
        <w:rPr/>
      </w:pPr>
      <w:r>
        <w:rPr/>
      </w:r>
    </w:p>
    <w:p>
      <w:pPr>
        <w:pStyle w:val="Normal1"/>
        <w:rPr/>
      </w:pPr>
      <w:r>
        <w:rPr/>
      </w:r>
    </w:p>
    <w:tbl>
      <w:tblPr>
        <w:tblStyle w:val="Table1"/>
        <w:tblW w:w="9025" w:type="dxa"/>
        <w:jc w:val="left"/>
        <w:tblInd w:w="0" w:type="dxa"/>
        <w:tblLayout w:type="fixed"/>
        <w:tblCellMar>
          <w:top w:w="100" w:type="dxa"/>
          <w:left w:w="100" w:type="dxa"/>
          <w:bottom w:w="100" w:type="dxa"/>
          <w:right w:w="100" w:type="dxa"/>
        </w:tblCellMar>
        <w:tblLook w:val="0600"/>
      </w:tblPr>
      <w:tblGrid>
        <w:gridCol w:w="2347"/>
        <w:gridCol w:w="1250"/>
        <w:gridCol w:w="1236"/>
        <w:gridCol w:w="1249"/>
        <w:gridCol w:w="1237"/>
        <w:gridCol w:w="1705"/>
      </w:tblGrid>
      <w:tr>
        <w:trPr>
          <w:trHeight w:val="530" w:hRule="atLeast"/>
        </w:trPr>
        <w:tc>
          <w:tcPr>
            <w:tcW w:w="2347" w:type="dxa"/>
            <w:tcBorders>
              <w:top w:val="single" w:sz="8" w:space="0" w:color="000000"/>
              <w:left w:val="single" w:sz="8" w:space="0" w:color="000000"/>
              <w:bottom w:val="single" w:sz="8" w:space="0" w:color="000000"/>
              <w:right w:val="single" w:sz="8" w:space="0" w:color="000000"/>
            </w:tcBorders>
          </w:tcPr>
          <w:p>
            <w:pPr>
              <w:pStyle w:val="Normal1"/>
              <w:widowControl w:val="false"/>
              <w:rPr>
                <w:sz w:val="20"/>
                <w:szCs w:val="20"/>
              </w:rPr>
            </w:pPr>
            <w:r>
              <w:rPr/>
              <w:t>Mark</w:t>
            </w:r>
          </w:p>
        </w:tc>
        <w:tc>
          <w:tcPr>
            <w:tcW w:w="1250" w:type="dxa"/>
            <w:tcBorders>
              <w:top w:val="single" w:sz="8" w:space="0" w:color="000000"/>
              <w:left w:val="single" w:sz="8" w:space="0" w:color="000000"/>
              <w:bottom w:val="single" w:sz="8" w:space="0" w:color="000000"/>
              <w:right w:val="single" w:sz="8" w:space="0" w:color="000000"/>
            </w:tcBorders>
          </w:tcPr>
          <w:p>
            <w:pPr>
              <w:pStyle w:val="Normal1"/>
              <w:widowControl w:val="false"/>
              <w:jc w:val="center"/>
              <w:rPr>
                <w:sz w:val="20"/>
                <w:szCs w:val="20"/>
              </w:rPr>
            </w:pPr>
            <w:r>
              <w:rPr/>
              <w:t>5</w:t>
            </w:r>
          </w:p>
        </w:tc>
        <w:tc>
          <w:tcPr>
            <w:tcW w:w="1236" w:type="dxa"/>
            <w:tcBorders>
              <w:top w:val="single" w:sz="8" w:space="0" w:color="000000"/>
              <w:left w:val="single" w:sz="8" w:space="0" w:color="000000"/>
              <w:bottom w:val="single" w:sz="8" w:space="0" w:color="000000"/>
              <w:right w:val="single" w:sz="8" w:space="0" w:color="000000"/>
            </w:tcBorders>
          </w:tcPr>
          <w:p>
            <w:pPr>
              <w:pStyle w:val="Normal1"/>
              <w:widowControl w:val="false"/>
              <w:jc w:val="center"/>
              <w:rPr>
                <w:sz w:val="20"/>
                <w:szCs w:val="20"/>
              </w:rPr>
            </w:pPr>
            <w:r>
              <w:rPr/>
              <w:t>4</w:t>
            </w:r>
          </w:p>
        </w:tc>
        <w:tc>
          <w:tcPr>
            <w:tcW w:w="1249" w:type="dxa"/>
            <w:tcBorders>
              <w:top w:val="single" w:sz="8" w:space="0" w:color="000000"/>
              <w:left w:val="single" w:sz="8" w:space="0" w:color="000000"/>
              <w:bottom w:val="single" w:sz="8" w:space="0" w:color="000000"/>
              <w:right w:val="single" w:sz="8" w:space="0" w:color="000000"/>
            </w:tcBorders>
          </w:tcPr>
          <w:p>
            <w:pPr>
              <w:pStyle w:val="Normal1"/>
              <w:widowControl w:val="false"/>
              <w:jc w:val="center"/>
              <w:rPr>
                <w:sz w:val="20"/>
                <w:szCs w:val="20"/>
              </w:rPr>
            </w:pPr>
            <w:r>
              <w:rPr/>
              <w:t>3</w:t>
            </w:r>
          </w:p>
        </w:tc>
        <w:tc>
          <w:tcPr>
            <w:tcW w:w="1237" w:type="dxa"/>
            <w:tcBorders>
              <w:top w:val="single" w:sz="8" w:space="0" w:color="000000"/>
              <w:left w:val="single" w:sz="8" w:space="0" w:color="000000"/>
              <w:bottom w:val="single" w:sz="8" w:space="0" w:color="000000"/>
              <w:right w:val="single" w:sz="8" w:space="0" w:color="000000"/>
            </w:tcBorders>
          </w:tcPr>
          <w:p>
            <w:pPr>
              <w:pStyle w:val="Normal1"/>
              <w:widowControl w:val="false"/>
              <w:jc w:val="center"/>
              <w:rPr>
                <w:sz w:val="20"/>
                <w:szCs w:val="20"/>
              </w:rPr>
            </w:pPr>
            <w:r>
              <w:rPr/>
              <w:t>2</w:t>
            </w:r>
          </w:p>
        </w:tc>
        <w:tc>
          <w:tcPr>
            <w:tcW w:w="1705" w:type="dxa"/>
            <w:tcBorders>
              <w:top w:val="single" w:sz="8" w:space="0" w:color="000000"/>
              <w:left w:val="single" w:sz="8" w:space="0" w:color="000000"/>
              <w:bottom w:val="single" w:sz="8" w:space="0" w:color="000000"/>
              <w:right w:val="single" w:sz="8" w:space="0" w:color="000000"/>
            </w:tcBorders>
          </w:tcPr>
          <w:p>
            <w:pPr>
              <w:pStyle w:val="Normal1"/>
              <w:widowControl w:val="false"/>
              <w:jc w:val="center"/>
              <w:rPr>
                <w:sz w:val="20"/>
                <w:szCs w:val="20"/>
              </w:rPr>
            </w:pPr>
            <w:r>
              <w:rPr/>
              <w:t>1</w:t>
            </w:r>
          </w:p>
        </w:tc>
      </w:tr>
      <w:tr>
        <w:trPr>
          <w:trHeight w:val="500" w:hRule="atLeast"/>
        </w:trPr>
        <w:tc>
          <w:tcPr>
            <w:tcW w:w="2347" w:type="dxa"/>
            <w:tcBorders>
              <w:top w:val="single" w:sz="8" w:space="0" w:color="000000"/>
              <w:left w:val="single" w:sz="8" w:space="0" w:color="000000"/>
              <w:bottom w:val="single" w:sz="8" w:space="0" w:color="000000"/>
              <w:right w:val="single" w:sz="8" w:space="0" w:color="000000"/>
            </w:tcBorders>
          </w:tcPr>
          <w:p>
            <w:pPr>
              <w:pStyle w:val="Normal1"/>
              <w:widowControl w:val="false"/>
              <w:rPr>
                <w:sz w:val="20"/>
                <w:szCs w:val="20"/>
              </w:rPr>
            </w:pPr>
            <w:r>
              <w:rPr/>
              <w:t>Grade</w:t>
            </w:r>
          </w:p>
        </w:tc>
        <w:tc>
          <w:tcPr>
            <w:tcW w:w="4972" w:type="dxa"/>
            <w:gridSpan w:val="4"/>
            <w:tcBorders>
              <w:top w:val="single" w:sz="8" w:space="0" w:color="000000"/>
              <w:left w:val="single" w:sz="8" w:space="0" w:color="000000"/>
              <w:bottom w:val="single" w:sz="8" w:space="0" w:color="000000"/>
              <w:right w:val="single" w:sz="8" w:space="0" w:color="000000"/>
            </w:tcBorders>
          </w:tcPr>
          <w:p>
            <w:pPr>
              <w:pStyle w:val="Normal1"/>
              <w:widowControl w:val="false"/>
              <w:jc w:val="center"/>
              <w:rPr>
                <w:sz w:val="20"/>
                <w:szCs w:val="20"/>
              </w:rPr>
            </w:pPr>
            <w:r>
              <w:rPr/>
              <w:t>Passing</w:t>
            </w:r>
          </w:p>
        </w:tc>
        <w:tc>
          <w:tcPr>
            <w:tcW w:w="17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center"/>
              <w:rPr>
                <w:sz w:val="20"/>
                <w:szCs w:val="20"/>
              </w:rPr>
            </w:pPr>
            <w:r>
              <w:rPr/>
              <w:t>Failed</w:t>
            </w:r>
          </w:p>
        </w:tc>
      </w:tr>
      <w:tr>
        <w:trPr>
          <w:trHeight w:val="500" w:hRule="atLeast"/>
        </w:trPr>
        <w:tc>
          <w:tcPr>
            <w:tcW w:w="23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pPr>
              <w:pStyle w:val="Normal1"/>
              <w:widowControl w:val="false"/>
              <w:rPr>
                <w:sz w:val="20"/>
                <w:szCs w:val="20"/>
              </w:rPr>
            </w:pPr>
            <w:r>
              <w:rPr/>
              <w:t>Limits (%)</w:t>
            </w:r>
          </w:p>
        </w:tc>
        <w:tc>
          <w:tcPr>
            <w:tcW w:w="1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center"/>
              <w:rPr>
                <w:sz w:val="20"/>
                <w:szCs w:val="20"/>
              </w:rPr>
            </w:pPr>
            <w:r>
              <w:rPr/>
              <w:t>85</w:t>
            </w:r>
          </w:p>
        </w:tc>
        <w:tc>
          <w:tcPr>
            <w:tcW w:w="123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center"/>
              <w:rPr>
                <w:sz w:val="20"/>
                <w:szCs w:val="20"/>
              </w:rPr>
            </w:pPr>
            <w:r>
              <w:rPr/>
              <w:t>70</w:t>
            </w:r>
          </w:p>
        </w:tc>
        <w:tc>
          <w:tcPr>
            <w:tcW w:w="124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center"/>
              <w:rPr>
                <w:sz w:val="20"/>
                <w:szCs w:val="20"/>
              </w:rPr>
            </w:pPr>
            <w:r>
              <w:rPr/>
              <w:t>55</w:t>
            </w:r>
          </w:p>
        </w:tc>
        <w:tc>
          <w:tcPr>
            <w:tcW w:w="123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center"/>
              <w:rPr>
                <w:sz w:val="20"/>
                <w:szCs w:val="20"/>
              </w:rPr>
            </w:pPr>
            <w:r>
              <w:rPr/>
              <w:t>40</w:t>
            </w:r>
          </w:p>
        </w:tc>
        <w:tc>
          <w:tcPr>
            <w:tcW w:w="17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center"/>
              <w:rPr>
                <w:sz w:val="20"/>
                <w:szCs w:val="20"/>
              </w:rPr>
            </w:pPr>
            <w:r>
              <w:rPr/>
              <w:t>&lt; 40</w:t>
            </w:r>
          </w:p>
        </w:tc>
      </w:tr>
    </w:tbl>
    <w:p>
      <w:pPr>
        <w:pStyle w:val="Normal1"/>
        <w:rPr/>
      </w:pPr>
      <w:r>
        <w:rPr/>
      </w:r>
    </w:p>
    <w:p>
      <w:pPr>
        <w:pStyle w:val="Normal1"/>
        <w:rPr/>
      </w:pPr>
      <w:r>
        <w:rPr/>
      </w:r>
    </w:p>
    <w:p>
      <w:pPr>
        <w:pStyle w:val="Heading4"/>
        <w:rPr/>
      </w:pPr>
      <w:bookmarkStart w:id="6" w:name="_k02gjyvt83vw"/>
      <w:bookmarkEnd w:id="6"/>
      <w:r>
        <w:rPr/>
        <w:t>Exam requirements</w:t>
      </w:r>
    </w:p>
    <w:p>
      <w:pPr>
        <w:pStyle w:val="Normal1"/>
        <w:rPr/>
      </w:pPr>
      <w:r>
        <w:rPr/>
        <w:t>Not applicable.</w:t>
      </w:r>
    </w:p>
    <w:p>
      <w:pPr>
        <w:pStyle w:val="Normal1"/>
        <w:rPr/>
      </w:pPr>
      <w:r>
        <w:rPr/>
      </w:r>
    </w:p>
    <w:p>
      <w:pPr>
        <w:pStyle w:val="Heading4"/>
        <w:rPr/>
      </w:pPr>
      <w:bookmarkStart w:id="7" w:name="_xk5yv016rs2"/>
      <w:bookmarkEnd w:id="7"/>
      <w:r>
        <w:rPr/>
        <w:t>Failing the requirements</w:t>
      </w:r>
    </w:p>
    <w:p>
      <w:pPr>
        <w:pStyle w:val="Normal1"/>
        <w:rPr/>
      </w:pPr>
      <w:r>
        <w:rPr/>
        <w:t>The Code of Studies and Examinations of the University of Pécs is applicable in general.</w:t>
      </w:r>
    </w:p>
    <w:p>
      <w:pPr>
        <w:pStyle w:val="Normal1"/>
        <w:numPr>
          <w:ilvl w:val="0"/>
          <w:numId w:val="3"/>
        </w:numPr>
        <w:ind w:hanging="360" w:left="720"/>
        <w:rPr>
          <w:u w:val="none"/>
        </w:rPr>
      </w:pPr>
      <w:r>
        <w:rPr/>
        <w:t>Students without signature have one opportunity to earn a passing midterm grade and signature in the exam period.</w:t>
      </w:r>
    </w:p>
    <w:p>
      <w:pPr>
        <w:pStyle w:val="Normal1"/>
        <w:numPr>
          <w:ilvl w:val="1"/>
          <w:numId w:val="3"/>
        </w:numPr>
        <w:ind w:hanging="360" w:left="1440"/>
        <w:rPr>
          <w:u w:val="none"/>
        </w:rPr>
      </w:pPr>
      <w:r>
        <w:rPr/>
        <w:t>Schedule:</w:t>
        <w:tab/>
        <w:t>1st week of the exam period, lecture time</w:t>
      </w:r>
    </w:p>
    <w:p>
      <w:pPr>
        <w:pStyle w:val="Normal1"/>
        <w:numPr>
          <w:ilvl w:val="1"/>
          <w:numId w:val="3"/>
        </w:numPr>
        <w:ind w:hanging="360" w:left="1440"/>
        <w:rPr>
          <w:u w:val="none"/>
        </w:rPr>
      </w:pPr>
      <w:r>
        <w:rPr/>
        <w:t>Format:</w:t>
        <w:tab/>
        <w:t>written test (lecture topics) and a new homework with oral presentation</w:t>
      </w:r>
    </w:p>
    <w:p>
      <w:pPr>
        <w:pStyle w:val="Normal1"/>
        <w:rPr/>
      </w:pPr>
      <w:r>
        <w:rPr/>
      </w:r>
    </w:p>
    <w:p>
      <w:pPr>
        <w:pStyle w:val="Heading4"/>
        <w:rPr/>
      </w:pPr>
      <w:bookmarkStart w:id="8" w:name="_ls0ql3j7b2i2"/>
      <w:bookmarkEnd w:id="8"/>
      <w:r>
        <w:rPr/>
        <w:t>Recommended literature</w:t>
      </w:r>
    </w:p>
    <w:p>
      <w:pPr>
        <w:pStyle w:val="Normal1"/>
        <w:rPr/>
      </w:pPr>
      <w:r>
        <w:rPr/>
        <w:t>The Art of Electronics 3rd Edition, Horowitz and Hill, 2015, ISBN-10: 9780521809269</w:t>
      </w:r>
    </w:p>
    <w:p>
      <w:pPr>
        <w:pStyle w:val="Normal1"/>
        <w:rPr/>
      </w:pPr>
      <w:r>
        <w:rPr/>
      </w:r>
    </w:p>
    <w:p>
      <w:pPr>
        <w:pStyle w:val="Normal1"/>
        <w:rPr/>
      </w:pPr>
      <w:r>
        <w:rPr/>
        <w:t>Official datasheets of the presented electronics components.</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hu-H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hu-HU"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Cmsor">
    <w:name w:val="Címsor"/>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Normal1" w:default="1">
    <w:name w:val="normal1"/>
    <w:qFormat/>
    <w:pPr>
      <w:widowControl/>
      <w:bidi w:val="0"/>
      <w:spacing w:lineRule="auto" w:line="276" w:before="0" w:after="0"/>
      <w:jc w:val="left"/>
    </w:pPr>
    <w:rPr>
      <w:rFonts w:ascii="Arial" w:hAnsi="Arial" w:eastAsia="Arial" w:cs="Arial"/>
      <w:color w:val="auto"/>
      <w:kern w:val="0"/>
      <w:sz w:val="22"/>
      <w:szCs w:val="22"/>
      <w:lang w:val="hu-HU"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2</Pages>
  <Words>353</Words>
  <Characters>2012</Characters>
  <CharactersWithSpaces>2301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hu-HU</dc:language>
  <cp:lastModifiedBy/>
  <dcterms:modified xsi:type="dcterms:W3CDTF">2024-02-13T06:12:00Z</dcterms:modified>
  <cp:revision>1</cp:revision>
  <dc:subject/>
  <dc:title/>
</cp:coreProperties>
</file>