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15C1A627" w:rsidR="00714872" w:rsidRPr="005F3DD3" w:rsidRDefault="00714872" w:rsidP="00780FF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25907471"/>
      <w:r w:rsidR="002B3B18" w:rsidRPr="00780FF8">
        <w:rPr>
          <w:rStyle w:val="None"/>
          <w:sz w:val="20"/>
          <w:szCs w:val="20"/>
          <w:lang w:val="hu-HU"/>
        </w:rPr>
        <w:t>Építőművész</w:t>
      </w:r>
      <w:r w:rsidR="00490902" w:rsidRPr="00780FF8">
        <w:rPr>
          <w:rStyle w:val="None"/>
          <w:sz w:val="20"/>
          <w:szCs w:val="20"/>
          <w:lang w:val="hu-HU"/>
        </w:rPr>
        <w:t>et</w:t>
      </w:r>
      <w:r w:rsidR="002B3B18" w:rsidRPr="00780FF8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780FF8">
        <w:rPr>
          <w:rStyle w:val="None"/>
          <w:sz w:val="20"/>
          <w:szCs w:val="20"/>
          <w:lang w:val="hu-HU"/>
        </w:rPr>
        <w:t>Ba</w:t>
      </w:r>
      <w:bookmarkEnd w:id="0"/>
      <w:proofErr w:type="spellEnd"/>
    </w:p>
    <w:p w14:paraId="19EEEF8C" w14:textId="68BCC1A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780FF8">
        <w:rPr>
          <w:rStyle w:val="None"/>
          <w:b/>
          <w:bCs/>
          <w:smallCaps/>
          <w:sz w:val="33"/>
          <w:szCs w:val="33"/>
          <w:lang w:val="hu-HU"/>
        </w:rPr>
        <w:t>BELSŐÉPÍTÉSZET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780FF8">
        <w:rPr>
          <w:rStyle w:val="None"/>
          <w:b/>
          <w:bCs/>
          <w:smallCaps/>
          <w:sz w:val="33"/>
          <w:szCs w:val="33"/>
          <w:lang w:val="hu-HU"/>
        </w:rPr>
        <w:t>1.</w:t>
      </w:r>
    </w:p>
    <w:p w14:paraId="7E689DE1" w14:textId="71005FD3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</w:t>
      </w:r>
      <w:r w:rsidR="00780FF8">
        <w:rPr>
          <w:rStyle w:val="None"/>
          <w:sz w:val="18"/>
          <w:szCs w:val="18"/>
          <w:lang w:val="hu-HU"/>
        </w:rPr>
        <w:t>B024</w:t>
      </w:r>
    </w:p>
    <w:p w14:paraId="0E7DC0A5" w14:textId="7A08431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780FF8">
        <w:rPr>
          <w:rStyle w:val="None"/>
          <w:sz w:val="18"/>
          <w:szCs w:val="18"/>
          <w:lang w:val="hu-HU"/>
        </w:rPr>
        <w:t>4</w:t>
      </w:r>
    </w:p>
    <w:p w14:paraId="09542FD2" w14:textId="4B793C8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780FF8">
        <w:rPr>
          <w:rStyle w:val="None"/>
          <w:sz w:val="18"/>
          <w:szCs w:val="18"/>
          <w:lang w:val="hu-HU"/>
        </w:rPr>
        <w:t>3</w:t>
      </w:r>
    </w:p>
    <w:p w14:paraId="7DBB2F67" w14:textId="145628F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780FF8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780FF8">
        <w:rPr>
          <w:rStyle w:val="None"/>
          <w:sz w:val="18"/>
          <w:szCs w:val="18"/>
          <w:lang w:val="hu-HU"/>
        </w:rPr>
        <w:t>4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780FF8">
        <w:rPr>
          <w:rStyle w:val="None"/>
          <w:sz w:val="18"/>
          <w:szCs w:val="18"/>
          <w:lang w:val="hu-HU"/>
        </w:rPr>
        <w:t>0</w:t>
      </w:r>
    </w:p>
    <w:p w14:paraId="11167164" w14:textId="486D951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763A5AAE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780FF8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5D563F53" w14:textId="77777777" w:rsidR="00780FF8" w:rsidRPr="00780FF8" w:rsidRDefault="00AA7EC0" w:rsidP="00780FF8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780FF8" w:rsidRPr="00780FF8">
        <w:rPr>
          <w:bCs/>
          <w:color w:val="000000" w:themeColor="text1"/>
          <w:sz w:val="18"/>
          <w:szCs w:val="18"/>
        </w:rPr>
        <w:t>dr. Rácz Tamás, egyetemi adjunktus</w:t>
      </w:r>
    </w:p>
    <w:p w14:paraId="50C82FEA" w14:textId="77777777" w:rsidR="00780FF8" w:rsidRPr="00780FF8" w:rsidRDefault="00780FF8" w:rsidP="00780F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0FF8">
        <w:rPr>
          <w:bCs/>
          <w:color w:val="000000" w:themeColor="text1"/>
          <w:sz w:val="18"/>
          <w:szCs w:val="18"/>
        </w:rPr>
        <w:tab/>
      </w:r>
      <w:r w:rsidRPr="00780FF8">
        <w:rPr>
          <w:rStyle w:val="None"/>
          <w:b w:val="0"/>
          <w:sz w:val="18"/>
          <w:szCs w:val="18"/>
        </w:rPr>
        <w:t>Iroda: 7624 Magyarország, Pécs, Boszorkány u. 2. É-81</w:t>
      </w:r>
    </w:p>
    <w:p w14:paraId="2AE2F8E7" w14:textId="77777777" w:rsidR="00780FF8" w:rsidRPr="00780FF8" w:rsidRDefault="00780FF8" w:rsidP="00780F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0FF8">
        <w:rPr>
          <w:rStyle w:val="None"/>
          <w:b w:val="0"/>
          <w:sz w:val="18"/>
          <w:szCs w:val="18"/>
        </w:rPr>
        <w:tab/>
        <w:t>E-mail: racz.tamas@mik.pte.hu</w:t>
      </w:r>
    </w:p>
    <w:p w14:paraId="5324986A" w14:textId="6073880A" w:rsidR="00B14D53" w:rsidRPr="00A601E6" w:rsidRDefault="00B14D53" w:rsidP="00780FF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3BBF4F3" w14:textId="77777777" w:rsidR="00780FF8" w:rsidRPr="00780FF8" w:rsidRDefault="00417E9C" w:rsidP="00780FF8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780FF8" w:rsidRPr="00780FF8">
        <w:rPr>
          <w:bCs/>
          <w:color w:val="000000" w:themeColor="text1"/>
          <w:sz w:val="18"/>
          <w:szCs w:val="18"/>
        </w:rPr>
        <w:t xml:space="preserve">dr. Rácz Tamás, </w:t>
      </w:r>
      <w:bookmarkStart w:id="1" w:name="_Hlk157177402"/>
      <w:r w:rsidR="00780FF8" w:rsidRPr="00780FF8">
        <w:rPr>
          <w:bCs/>
          <w:color w:val="000000" w:themeColor="text1"/>
          <w:sz w:val="18"/>
          <w:szCs w:val="18"/>
        </w:rPr>
        <w:t>egyetemi adjunktus</w:t>
      </w:r>
      <w:bookmarkEnd w:id="1"/>
    </w:p>
    <w:p w14:paraId="3CB104BD" w14:textId="77777777" w:rsidR="00780FF8" w:rsidRPr="00780FF8" w:rsidRDefault="00780FF8" w:rsidP="00780F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0FF8">
        <w:rPr>
          <w:bCs/>
          <w:color w:val="000000" w:themeColor="text1"/>
          <w:sz w:val="18"/>
          <w:szCs w:val="18"/>
        </w:rPr>
        <w:tab/>
      </w:r>
      <w:r w:rsidRPr="00780FF8">
        <w:rPr>
          <w:rStyle w:val="None"/>
          <w:b w:val="0"/>
          <w:sz w:val="18"/>
          <w:szCs w:val="18"/>
        </w:rPr>
        <w:t>Iroda: 7624 Magyarország, Pécs, Boszorkány u. 2. É-81</w:t>
      </w:r>
    </w:p>
    <w:p w14:paraId="7C146527" w14:textId="4B5F06A3" w:rsidR="005F1E62" w:rsidRDefault="00780FF8" w:rsidP="00780FF8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780FF8">
        <w:rPr>
          <w:rStyle w:val="None"/>
          <w:b w:val="0"/>
          <w:sz w:val="18"/>
          <w:szCs w:val="18"/>
        </w:rPr>
        <w:tab/>
        <w:t>E-mail: racz.tamas@mik.pte.hu</w:t>
      </w:r>
      <w:r w:rsidR="009C40A3">
        <w:rPr>
          <w:sz w:val="18"/>
          <w:szCs w:val="18"/>
          <w:shd w:val="clear" w:color="auto" w:fill="FFFFFF"/>
        </w:rPr>
        <w:tab/>
      </w:r>
    </w:p>
    <w:p w14:paraId="178E8B76" w14:textId="77777777" w:rsidR="00780FF8" w:rsidRDefault="00780FF8" w:rsidP="00780FF8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749E5F17" w14:textId="77777777" w:rsidR="005503EF" w:rsidRDefault="009C40A3" w:rsidP="005503EF">
      <w:pPr>
        <w:pStyle w:val="TEMATIKA-OKTATK"/>
        <w:rPr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5503E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780FF8">
        <w:rPr>
          <w:bCs/>
          <w:color w:val="000000" w:themeColor="text1"/>
          <w:sz w:val="18"/>
          <w:szCs w:val="18"/>
        </w:rPr>
        <w:t>Lovig Dalma</w:t>
      </w:r>
      <w:r w:rsidR="00780FF8" w:rsidRPr="00780FF8">
        <w:rPr>
          <w:bCs/>
          <w:color w:val="000000" w:themeColor="text1"/>
          <w:sz w:val="18"/>
          <w:szCs w:val="18"/>
        </w:rPr>
        <w:t xml:space="preserve">, </w:t>
      </w:r>
      <w:r w:rsidR="005503EF" w:rsidRPr="005503EF">
        <w:rPr>
          <w:bCs/>
          <w:color w:val="000000" w:themeColor="text1"/>
          <w:sz w:val="18"/>
          <w:szCs w:val="18"/>
        </w:rPr>
        <w:t>egyetemi adjunktus</w:t>
      </w:r>
      <w:r w:rsidR="00780FF8" w:rsidRPr="00780FF8">
        <w:rPr>
          <w:bCs/>
          <w:color w:val="000000" w:themeColor="text1"/>
          <w:sz w:val="18"/>
          <w:szCs w:val="18"/>
        </w:rPr>
        <w:tab/>
      </w:r>
    </w:p>
    <w:p w14:paraId="14142181" w14:textId="7AB2F40E" w:rsidR="00780FF8" w:rsidRPr="00780FF8" w:rsidRDefault="005503EF" w:rsidP="005503EF">
      <w:pPr>
        <w:pStyle w:val="TEMATIKA-OKTATK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780FF8" w:rsidRPr="00780FF8">
        <w:rPr>
          <w:rStyle w:val="None"/>
          <w:b w:val="0"/>
          <w:sz w:val="18"/>
          <w:szCs w:val="18"/>
        </w:rPr>
        <w:t>Iroda: 7624 Magyarország, Pécs, Boszorkány u. 2. É-81</w:t>
      </w:r>
    </w:p>
    <w:p w14:paraId="23EC6E3C" w14:textId="0517C8DD" w:rsidR="009C40A3" w:rsidRPr="00A601E6" w:rsidRDefault="00780FF8" w:rsidP="00780FF8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780FF8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lovig.dalma</w:t>
      </w:r>
      <w:r w:rsidRPr="00780FF8">
        <w:rPr>
          <w:rStyle w:val="None"/>
          <w:b w:val="0"/>
          <w:sz w:val="18"/>
          <w:szCs w:val="18"/>
        </w:rPr>
        <w:t>@mik.pte.hu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44F3D82" w14:textId="089FD3AF" w:rsidR="00780FF8" w:rsidRPr="00780FF8" w:rsidRDefault="002B3B18" w:rsidP="00780FF8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r w:rsidR="00780FF8">
        <w:rPr>
          <w:bCs/>
          <w:color w:val="000000" w:themeColor="text1"/>
          <w:sz w:val="18"/>
          <w:szCs w:val="18"/>
        </w:rPr>
        <w:t>Varjú Kata</w:t>
      </w:r>
      <w:r w:rsidR="00780FF8" w:rsidRPr="00780FF8">
        <w:rPr>
          <w:bCs/>
          <w:color w:val="000000" w:themeColor="text1"/>
          <w:sz w:val="18"/>
          <w:szCs w:val="18"/>
        </w:rPr>
        <w:t xml:space="preserve">, </w:t>
      </w:r>
      <w:r w:rsidR="00780FF8">
        <w:rPr>
          <w:bCs/>
          <w:color w:val="000000" w:themeColor="text1"/>
          <w:sz w:val="18"/>
          <w:szCs w:val="18"/>
        </w:rPr>
        <w:t>doktorandusz</w:t>
      </w:r>
    </w:p>
    <w:p w14:paraId="1EF7AC39" w14:textId="77777777" w:rsidR="00780FF8" w:rsidRPr="00780FF8" w:rsidRDefault="00780FF8" w:rsidP="00780F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0FF8">
        <w:rPr>
          <w:bCs/>
          <w:color w:val="000000" w:themeColor="text1"/>
          <w:sz w:val="18"/>
          <w:szCs w:val="18"/>
        </w:rPr>
        <w:tab/>
      </w:r>
      <w:r w:rsidRPr="00780FF8">
        <w:rPr>
          <w:rStyle w:val="None"/>
          <w:b w:val="0"/>
          <w:sz w:val="18"/>
          <w:szCs w:val="18"/>
        </w:rPr>
        <w:t>Iroda: 7624 Magyarország, Pécs, Boszorkány u. 2. É-81</w:t>
      </w:r>
    </w:p>
    <w:p w14:paraId="1E96D443" w14:textId="3DD73BA4" w:rsidR="00780FF8" w:rsidRPr="00A601E6" w:rsidRDefault="00780FF8" w:rsidP="00780FF8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780FF8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varju.kata</w:t>
      </w:r>
      <w:r w:rsidRPr="00780FF8">
        <w:rPr>
          <w:rStyle w:val="None"/>
          <w:b w:val="0"/>
          <w:sz w:val="18"/>
          <w:szCs w:val="18"/>
        </w:rPr>
        <w:t>@mik.pte.hu</w:t>
      </w:r>
    </w:p>
    <w:p w14:paraId="57E64C63" w14:textId="1B59C1BE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B043F4" w:rsidRDefault="00034EEB" w:rsidP="000F780F">
      <w:pPr>
        <w:pStyle w:val="Cmsor2"/>
        <w:rPr>
          <w:lang w:val="hu-HU"/>
        </w:rPr>
      </w:pPr>
      <w:r w:rsidRPr="00B043F4">
        <w:rPr>
          <w:lang w:val="hu-HU"/>
        </w:rPr>
        <w:t>Tárgyleírás</w:t>
      </w:r>
    </w:p>
    <w:p w14:paraId="07AC4CD4" w14:textId="6918C977" w:rsidR="00780FF8" w:rsidRPr="00780FF8" w:rsidRDefault="00780FF8" w:rsidP="00780FF8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A </w:t>
      </w:r>
      <w:r w:rsidRPr="00B043F4">
        <w:rPr>
          <w:rFonts w:eastAsia="Arial Unicode MS"/>
          <w:b w:val="0"/>
          <w:bCs w:val="0"/>
          <w:i/>
          <w:iCs/>
          <w:color w:val="auto"/>
          <w:szCs w:val="24"/>
          <w:lang w:val="hu-HU"/>
        </w:rPr>
        <w:t>Belsőépítészet 1</w:t>
      </w:r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 nevű tárgy, a belsőépítészeti szakterületre fókuszál és egészen az építészet műfaji határáig jut el. Ennél a határnál az építészeti design, az ipari designnal találkozik, kezet fognak, majd elválnak egymástól.</w:t>
      </w:r>
    </w:p>
    <w:p w14:paraId="7FD78E11" w14:textId="604E8B2A" w:rsidR="00780FF8" w:rsidRDefault="00780FF8" w:rsidP="00780FF8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adott kis léptékű építészeti tér belső terének, tereinek </w:t>
      </w:r>
      <w:proofErr w:type="spellStart"/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>arculatát</w:t>
      </w:r>
      <w:proofErr w:type="spellEnd"/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, designját és berendezési tárgyait tervezik meg. A komplexitás, átfogó gondolkodás elsajátítása, valamint az építészet és belsőépítészet szakmai határainak elkülönítése a tantárgy feladata. </w:t>
      </w:r>
    </w:p>
    <w:p w14:paraId="403DBF72" w14:textId="77777777" w:rsidR="008233DF" w:rsidRPr="008233DF" w:rsidRDefault="008233DF" w:rsidP="008233DF">
      <w:pPr>
        <w:rPr>
          <w:lang w:val="hu-HU"/>
        </w:rPr>
      </w:pPr>
    </w:p>
    <w:p w14:paraId="0FB2618F" w14:textId="77777777" w:rsidR="00780FF8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DEF2AFD" w14:textId="4DD0C125" w:rsidR="00780FF8" w:rsidRDefault="00780FF8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A belsőépítészeti tervezés módszerének, alapelveinek elméleti és gyakorlati elsajátítása. Nagy hangsúlyt fektetve az ergonómiára, a designra, formakultúra fejlesztésére, a csomóponti kialakításokra és a megvalósíthatóságra. A műszaki ábrázolás (rajzi és térbeli) és modellezés technikai fejlesztése és a terv-prezentálás gyakorlása. </w:t>
      </w:r>
    </w:p>
    <w:p w14:paraId="5C8E75EA" w14:textId="77777777" w:rsidR="008233DF" w:rsidRPr="008233DF" w:rsidRDefault="008233DF" w:rsidP="008233DF">
      <w:pPr>
        <w:rPr>
          <w:lang w:val="hu-HU"/>
        </w:rPr>
      </w:pPr>
    </w:p>
    <w:p w14:paraId="0F567D07" w14:textId="205A941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0B05955A" w14:textId="77777777" w:rsidR="00780FF8" w:rsidRDefault="00780FF8" w:rsidP="00780FF8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>A szemeszter egy építészeti tér belsőépítészeti szempontból történő feldolgozását foglalja magába. A feladat meghatározását írásos tervezési program képezi (melléklet, amely ezen tematikával együtt értelmezendő), rajzi mellékletek, alaprajzok, metszetek nélkül. A feladat megoldása során az általánosnak mondható folyamat, amely a nagyobb összefüggések felől halad a részletek felé, megfordul, a részletekből indulva a nagyobb összefüggések felé tart. A berendezési tárgyak, asztal-szék, ágy-szekrény, fürdőkád-</w:t>
      </w:r>
      <w:proofErr w:type="spellStart"/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>wc</w:t>
      </w:r>
      <w:proofErr w:type="spellEnd"/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>, ergonómiai jellemzőiből, méretrendjéből indul, az ezekből berendezhető funkcionális egységek, konyha, szoba, fürdőszoba terveken át jut el a rendeltetési egységek összerendezése által létrejövő, működő lakásig, alaprajzokig, metszetekig. A feladat a belsőépítészeti tervezés komplexitását hangsúlyozza, rávilágít arra, hogy a belsőépítészeti terv kvalitása nem egymásmellé rendezett értékek halmaza, hanem egymásra épülő értékek összefüggésrendszerében, áthatásában rejlik. A szemeszter folyamán a hallgatók elsajátítják a belsőépítészeti ábrázolás, szabadkézi, kézi szerkesztéses és számítógépes alapjait, technikáját. A terveken felül különböző léptékű munka és végleges makettek készülnek.</w:t>
      </w:r>
    </w:p>
    <w:p w14:paraId="1923A457" w14:textId="3F5F0A6E" w:rsidR="00780FF8" w:rsidRDefault="00780FF8" w:rsidP="00780FF8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 a tantárgy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MS </w:t>
      </w:r>
      <w:proofErr w:type="spellStart"/>
      <w:r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780FF8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</w:t>
      </w:r>
    </w:p>
    <w:p w14:paraId="188BFF60" w14:textId="77777777" w:rsidR="008233DF" w:rsidRPr="008233DF" w:rsidRDefault="008233DF" w:rsidP="008233DF">
      <w:pPr>
        <w:rPr>
          <w:lang w:val="hu-HU"/>
        </w:rPr>
      </w:pPr>
    </w:p>
    <w:p w14:paraId="241EDB13" w14:textId="45639A4F" w:rsidR="00034EEB" w:rsidRPr="00780FF8" w:rsidRDefault="00034EEB" w:rsidP="00780FF8">
      <w:pPr>
        <w:pStyle w:val="Cmsor2"/>
        <w:jc w:val="both"/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187E6815" w:rsidR="003D493E" w:rsidRDefault="00780FF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0FF8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446B9EDB" w14:textId="77777777" w:rsidR="00780FF8" w:rsidRDefault="00780FF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0DEF1F7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ív.</w:t>
      </w:r>
    </w:p>
    <w:p w14:paraId="152A882D" w14:textId="1BE6558D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6CD398" w14:textId="5FFE5219" w:rsidR="008233DF" w:rsidRDefault="008233DF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A067DE" w14:textId="36BD80DF" w:rsidR="008233DF" w:rsidRDefault="008233DF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05C0F5" w14:textId="3AC83798" w:rsidR="008233DF" w:rsidRDefault="008233DF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098BBA" w14:textId="3F421951" w:rsidR="008233DF" w:rsidRDefault="008233DF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D1FB7C" w14:textId="77777777" w:rsidR="008233DF" w:rsidRDefault="008233DF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8871D7" w14:textId="2997D40E" w:rsidR="00F21B2D" w:rsidRPr="00780FF8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Számonkérések</w:t>
      </w:r>
    </w:p>
    <w:p w14:paraId="3C61FA05" w14:textId="46DF857E" w:rsidR="00B65526" w:rsidRPr="00780FF8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80FF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780FF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780FF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780FF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780FF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EED7FFF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D35C104" w:rsidR="007C6062" w:rsidRPr="008233DF" w:rsidRDefault="007C6062" w:rsidP="00780FF8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1. </w:t>
            </w:r>
            <w:r w:rsidR="00780FF8"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c</w:t>
            </w:r>
            <w:proofErr w:type="spellStart"/>
            <w:r w:rsidR="00780FF8" w:rsidRPr="008233DF">
              <w:rPr>
                <w:b/>
                <w:bCs/>
                <w:color w:val="808080"/>
              </w:rPr>
              <w:t>iklus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739C994F" w14:textId="2D5116C4" w:rsidR="007C6062" w:rsidRPr="008233DF" w:rsidRDefault="007C6062" w:rsidP="007C6062">
            <w:pPr>
              <w:ind w:left="851" w:hanging="851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 </w:t>
            </w:r>
            <w:r w:rsidR="00780FF8"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3</w:t>
            </w: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9B26562" w14:textId="7F6375B0" w:rsidR="007C6062" w:rsidRPr="008233DF" w:rsidRDefault="00780FF8" w:rsidP="008233DF">
            <w:pPr>
              <w:ind w:left="851" w:hanging="851"/>
              <w:jc w:val="right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3</w:t>
            </w:r>
            <w:r w:rsidR="007C6062"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0FF8" w:rsidRPr="00223135" w14:paraId="777F4FC4" w14:textId="77777777" w:rsidTr="00223135">
        <w:tc>
          <w:tcPr>
            <w:tcW w:w="4678" w:type="dxa"/>
            <w:shd w:val="clear" w:color="auto" w:fill="auto"/>
          </w:tcPr>
          <w:p w14:paraId="0B410AF7" w14:textId="5B35B330" w:rsidR="00780FF8" w:rsidRPr="007C6062" w:rsidRDefault="00780FF8" w:rsidP="00780FF8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Inspirációs példák, tanulmány</w:t>
            </w:r>
          </w:p>
        </w:tc>
        <w:tc>
          <w:tcPr>
            <w:tcW w:w="1697" w:type="dxa"/>
            <w:shd w:val="clear" w:color="auto" w:fill="auto"/>
          </w:tcPr>
          <w:p w14:paraId="594E56F5" w14:textId="202BEC25" w:rsidR="00780FF8" w:rsidRPr="007C6062" w:rsidRDefault="00780FF8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5 pont</w:t>
            </w:r>
          </w:p>
        </w:tc>
        <w:tc>
          <w:tcPr>
            <w:tcW w:w="2697" w:type="dxa"/>
            <w:shd w:val="clear" w:color="auto" w:fill="auto"/>
          </w:tcPr>
          <w:p w14:paraId="2D6ADBCF" w14:textId="6B7A66FF" w:rsidR="00780FF8" w:rsidRDefault="00780FF8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780FF8" w:rsidRPr="00223135" w14:paraId="2B497511" w14:textId="77777777" w:rsidTr="00223135">
        <w:tc>
          <w:tcPr>
            <w:tcW w:w="4678" w:type="dxa"/>
            <w:shd w:val="clear" w:color="auto" w:fill="auto"/>
          </w:tcPr>
          <w:p w14:paraId="4B979265" w14:textId="0878BCE8" w:rsidR="00780FF8" w:rsidRPr="007C6062" w:rsidRDefault="00780FF8" w:rsidP="00780FF8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Koncepcióterv tartalma</w:t>
            </w:r>
          </w:p>
        </w:tc>
        <w:tc>
          <w:tcPr>
            <w:tcW w:w="1697" w:type="dxa"/>
            <w:shd w:val="clear" w:color="auto" w:fill="auto"/>
          </w:tcPr>
          <w:p w14:paraId="10D809AE" w14:textId="00C0E88B" w:rsidR="00780FF8" w:rsidRPr="007C6062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 pont</w:t>
            </w:r>
          </w:p>
        </w:tc>
        <w:tc>
          <w:tcPr>
            <w:tcW w:w="2697" w:type="dxa"/>
            <w:shd w:val="clear" w:color="auto" w:fill="auto"/>
          </w:tcPr>
          <w:p w14:paraId="4AF81BA5" w14:textId="3DDC8FB1" w:rsidR="00780FF8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15 %</w:t>
            </w:r>
          </w:p>
        </w:tc>
      </w:tr>
      <w:tr w:rsidR="008233DF" w:rsidRPr="00223135" w14:paraId="522A751F" w14:textId="77777777" w:rsidTr="00223135">
        <w:tc>
          <w:tcPr>
            <w:tcW w:w="4678" w:type="dxa"/>
            <w:shd w:val="clear" w:color="auto" w:fill="auto"/>
          </w:tcPr>
          <w:p w14:paraId="5CC0CDF5" w14:textId="132D3128" w:rsidR="008233DF" w:rsidRDefault="008233DF" w:rsidP="00780FF8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Prezentációs eszközök</w:t>
            </w:r>
          </w:p>
        </w:tc>
        <w:tc>
          <w:tcPr>
            <w:tcW w:w="1697" w:type="dxa"/>
            <w:shd w:val="clear" w:color="auto" w:fill="auto"/>
          </w:tcPr>
          <w:p w14:paraId="6BAA1109" w14:textId="7BF51C69" w:rsidR="008233DF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pont</w:t>
            </w:r>
          </w:p>
        </w:tc>
        <w:tc>
          <w:tcPr>
            <w:tcW w:w="2697" w:type="dxa"/>
            <w:shd w:val="clear" w:color="auto" w:fill="auto"/>
          </w:tcPr>
          <w:p w14:paraId="765C68B9" w14:textId="02FD3745" w:rsidR="008233DF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301F0F0F" w:rsidR="007C6062" w:rsidRPr="008233DF" w:rsidRDefault="007C6062" w:rsidP="007C6062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2. </w:t>
            </w:r>
            <w:r w:rsidR="00780FF8"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ciklus</w:t>
            </w:r>
          </w:p>
        </w:tc>
        <w:tc>
          <w:tcPr>
            <w:tcW w:w="1697" w:type="dxa"/>
            <w:shd w:val="clear" w:color="auto" w:fill="auto"/>
          </w:tcPr>
          <w:p w14:paraId="1F6B8D79" w14:textId="188A20C4" w:rsidR="007C6062" w:rsidRPr="008233DF" w:rsidRDefault="007C6062" w:rsidP="00780FF8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 </w:t>
            </w:r>
            <w:r w:rsidR="00780FF8"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6</w:t>
            </w: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473BE55F" w:rsidR="007C6062" w:rsidRPr="008233DF" w:rsidRDefault="00780FF8" w:rsidP="008233DF">
            <w:pPr>
              <w:ind w:left="851" w:hanging="851"/>
              <w:jc w:val="right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6</w:t>
            </w:r>
            <w:r w:rsidR="007C6062"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8233DF" w:rsidRPr="00223135" w14:paraId="6B31505C" w14:textId="77777777" w:rsidTr="00223135">
        <w:tc>
          <w:tcPr>
            <w:tcW w:w="4678" w:type="dxa"/>
            <w:shd w:val="clear" w:color="auto" w:fill="auto"/>
          </w:tcPr>
          <w:p w14:paraId="31AED40A" w14:textId="08C5CCA8" w:rsidR="008233DF" w:rsidRPr="008233DF" w:rsidRDefault="008233DF" w:rsidP="008233D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Belsőépítészeti terv tartalma</w:t>
            </w:r>
          </w:p>
        </w:tc>
        <w:tc>
          <w:tcPr>
            <w:tcW w:w="1697" w:type="dxa"/>
            <w:shd w:val="clear" w:color="auto" w:fill="auto"/>
          </w:tcPr>
          <w:p w14:paraId="1B095A67" w14:textId="09128489" w:rsidR="008233DF" w:rsidRPr="008233DF" w:rsidRDefault="008233DF" w:rsidP="00780FF8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50DDE1EE" w14:textId="326E9798" w:rsidR="008233DF" w:rsidRPr="008233DF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30%</w:t>
            </w:r>
          </w:p>
        </w:tc>
      </w:tr>
      <w:tr w:rsidR="008233DF" w:rsidRPr="00223135" w14:paraId="799CBE0F" w14:textId="77777777" w:rsidTr="00223135">
        <w:tc>
          <w:tcPr>
            <w:tcW w:w="4678" w:type="dxa"/>
            <w:shd w:val="clear" w:color="auto" w:fill="auto"/>
          </w:tcPr>
          <w:p w14:paraId="1F801C9F" w14:textId="1FB66B7D" w:rsidR="008233DF" w:rsidRPr="008233DF" w:rsidRDefault="008233DF" w:rsidP="008233D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Makett</w:t>
            </w:r>
          </w:p>
        </w:tc>
        <w:tc>
          <w:tcPr>
            <w:tcW w:w="1697" w:type="dxa"/>
            <w:shd w:val="clear" w:color="auto" w:fill="auto"/>
          </w:tcPr>
          <w:p w14:paraId="10D6CDC4" w14:textId="32DFD988" w:rsidR="008233DF" w:rsidRPr="008233DF" w:rsidRDefault="008233DF" w:rsidP="00780FF8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BA08F0E" w14:textId="6D15AE26" w:rsidR="008233DF" w:rsidRPr="008233DF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8233DF" w:rsidRPr="00223135" w14:paraId="18FEDE9F" w14:textId="77777777" w:rsidTr="00223135">
        <w:tc>
          <w:tcPr>
            <w:tcW w:w="4678" w:type="dxa"/>
            <w:shd w:val="clear" w:color="auto" w:fill="auto"/>
          </w:tcPr>
          <w:p w14:paraId="6A82DDF4" w14:textId="632ED196" w:rsidR="008233DF" w:rsidRPr="008233DF" w:rsidRDefault="008233DF" w:rsidP="008233D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Prezentációs eszközök</w:t>
            </w:r>
          </w:p>
        </w:tc>
        <w:tc>
          <w:tcPr>
            <w:tcW w:w="1697" w:type="dxa"/>
            <w:shd w:val="clear" w:color="auto" w:fill="auto"/>
          </w:tcPr>
          <w:p w14:paraId="3989D233" w14:textId="538D00B8" w:rsidR="008233DF" w:rsidRPr="008233DF" w:rsidRDefault="008233DF" w:rsidP="00780FF8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7751D254" w14:textId="0EBC53EB" w:rsidR="008233DF" w:rsidRPr="008233DF" w:rsidRDefault="008233DF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780FF8" w:rsidRPr="00223135" w14:paraId="3B278E83" w14:textId="77777777" w:rsidTr="00223135">
        <w:tc>
          <w:tcPr>
            <w:tcW w:w="4678" w:type="dxa"/>
            <w:shd w:val="clear" w:color="auto" w:fill="auto"/>
          </w:tcPr>
          <w:p w14:paraId="12CF582E" w14:textId="33A7BE9F" w:rsidR="00780FF8" w:rsidRPr="008233DF" w:rsidRDefault="00780FF8" w:rsidP="007C6062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776895E" w14:textId="4A857C66" w:rsidR="00780FF8" w:rsidRPr="008233DF" w:rsidRDefault="00780FF8" w:rsidP="00780FF8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5980BEE0" w14:textId="2AF0B21B" w:rsidR="00780FF8" w:rsidRPr="008233DF" w:rsidRDefault="00780FF8" w:rsidP="008233DF">
            <w:pPr>
              <w:ind w:left="851" w:hanging="851"/>
              <w:jc w:val="right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7C6062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458FF962" w:rsidR="007C6062" w:rsidRPr="008233DF" w:rsidRDefault="008233DF" w:rsidP="007C6062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5740010A" w14:textId="42C203D2" w:rsidR="007C6062" w:rsidRPr="008233DF" w:rsidRDefault="008233DF" w:rsidP="007C6062">
            <w:pPr>
              <w:ind w:left="851" w:hanging="851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Max 100 pont</w:t>
            </w:r>
          </w:p>
        </w:tc>
        <w:tc>
          <w:tcPr>
            <w:tcW w:w="2697" w:type="dxa"/>
            <w:shd w:val="clear" w:color="auto" w:fill="auto"/>
          </w:tcPr>
          <w:p w14:paraId="4D74CE4C" w14:textId="3EEC79DF" w:rsidR="007C6062" w:rsidRPr="008233DF" w:rsidRDefault="008233DF" w:rsidP="008233DF">
            <w:pPr>
              <w:jc w:val="right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100 %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22ABCA07" w:rsidR="00F21B2D" w:rsidRPr="008233DF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8233DF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8233DF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</w:t>
      </w:r>
    </w:p>
    <w:p w14:paraId="337241B7" w14:textId="2ED58749" w:rsidR="008233DF" w:rsidRPr="008233DF" w:rsidRDefault="008233DF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sz w:val="20"/>
          <w:szCs w:val="20"/>
          <w:lang w:val="hu-HU"/>
        </w:rPr>
        <w:t>Minden feladatrész pótlása a határidő utáni első alkalommal esedékes. Az egyes feladatrészek javítására legkésőbb a 1</w:t>
      </w:r>
      <w:r w:rsidR="005503EF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8233DF">
        <w:rPr>
          <w:rStyle w:val="None"/>
          <w:rFonts w:eastAsia="Times New Roman"/>
          <w:bCs/>
          <w:sz w:val="20"/>
          <w:szCs w:val="20"/>
          <w:lang w:val="hu-HU"/>
        </w:rPr>
        <w:t>. hét végéig van lehetőség, 1 alakommal.</w:t>
      </w:r>
    </w:p>
    <w:p w14:paraId="7C0AADA5" w14:textId="40B492C6" w:rsidR="00DB4337" w:rsidRPr="008233DF" w:rsidRDefault="00DB4337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61D8A2" w14:textId="670AFC8C" w:rsidR="00DB4337" w:rsidRPr="008233DF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233DF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8233DF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8233DF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8233DF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3794ECF" w14:textId="2B8773E2" w:rsidR="00DB4337" w:rsidRPr="008233DF" w:rsidRDefault="00DB4337" w:rsidP="008233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8233DF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0578A140" w14:textId="77777777" w:rsidR="00DB4337" w:rsidRPr="008233DF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7FCEC939" w14:textId="77777777" w:rsidR="00DB4337" w:rsidRPr="008233DF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3B0A79A8" w14:textId="77777777" w:rsidR="00DB4337" w:rsidRPr="008233DF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Pr="008233DF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FDBCD99" w14:textId="1B9D3829" w:rsidR="0049660B" w:rsidRPr="008233D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8233D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</w:t>
      </w:r>
      <w:proofErr w:type="gramStart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lehet</w:t>
      </w:r>
      <w:proofErr w:type="gramEnd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</w:t>
      </w:r>
      <w:r w:rsidR="005503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1131DC54" w14:textId="77777777" w:rsidR="0049660B" w:rsidRPr="008233DF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47844A66" w:rsidR="00775481" w:rsidRPr="008233DF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5503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</w:t>
      </w:r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2664345A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5503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08B97AE7" w14:textId="77777777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48ACDD8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5503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6BA61256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rögzítés</w:t>
      </w:r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</w:t>
      </w:r>
      <w:proofErr w:type="gramEnd"/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5503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812440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8233DF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5A303CCC" w:rsidR="00775481" w:rsidRPr="008233DF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5503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="00E04FE8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4639DE75" w:rsidR="00DB4337" w:rsidRPr="008233DF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8233D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63514042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0DCF3B54" w14:textId="21501AE0" w:rsidR="009E3F82" w:rsidRPr="004252F6" w:rsidRDefault="009E3F82" w:rsidP="009E3F82">
      <w:pPr>
        <w:ind w:left="720" w:hanging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Barcza Dániel,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Csanák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Edit, Fülöp József, Hegyi Ibolya, KallóAngéla, Kondor Edit, Magyari Márton, Nagy Péter, Szentirmai Zsuzsanna, Szilágyi Klára, Takács Nóra, Tatár Péter, Térformálás tárgyformálás 1. Budapest 2007.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Hungarian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Edition Terc Kft.</w:t>
      </w:r>
    </w:p>
    <w:p w14:paraId="6223BB50" w14:textId="0D4C96CA" w:rsidR="009E3F82" w:rsidRPr="004252F6" w:rsidRDefault="009E3F82" w:rsidP="009E3F82">
      <w:pPr>
        <w:ind w:left="709" w:hanging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Barcza Dániel,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Csanák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Edit, Fülöp József, Hegyi Ibolya, KallóAngéla, Kondor Edit, Magyari Márton, Nagy Péter, Szentirmai Zsuzsanna, Szilágyi Klára, Takács Nóra, Tatár Péter, Térformálás tárgyformálás 2. Budapest 2007.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Hungarian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Edition Terc Kft.</w:t>
      </w:r>
    </w:p>
    <w:p w14:paraId="3F1B1A5D" w14:textId="39E11055" w:rsidR="009E3F82" w:rsidRPr="007F3F62" w:rsidRDefault="009E3F82" w:rsidP="009E3F82">
      <w:pPr>
        <w:ind w:left="709" w:hanging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Barcza Dániel,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Csanák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Edit, Fülöp József, Hegyi Ibolya, KallóAngéla, Kondor Edit, Magyari Márton, Nagy Péter, Szentirmai Zsuzsanna, Szilágyi Klára, Takács Nóra, Tatár Péter, Térformálás tárgyformálás 3. Budapest 2007.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Hungarian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Edition Terc Kft.</w:t>
      </w:r>
    </w:p>
    <w:p w14:paraId="7A171C3E" w14:textId="67533FB8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9E3F8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>Kaesz</w:t>
      </w:r>
      <w:proofErr w:type="spellEnd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Gyula, Ismerjük meg a bútorstílusokat</w:t>
      </w:r>
    </w:p>
    <w:p w14:paraId="63A37F1E" w14:textId="1463C8B5" w:rsidR="007F3F62" w:rsidRPr="004252F6" w:rsidRDefault="007F3F62" w:rsidP="007F3F62">
      <w:pPr>
        <w:rPr>
          <w:rStyle w:val="None"/>
          <w:rFonts w:eastAsia="Times New Roman"/>
          <w:bCs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9E3F8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 w:rsidR="004252F6" w:rsidRPr="004252F6">
        <w:t xml:space="preserve"> </w:t>
      </w:r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Modern </w:t>
      </w:r>
      <w:proofErr w:type="spellStart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>Interior</w:t>
      </w:r>
      <w:proofErr w:type="spellEnd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Design. Prága 2008. </w:t>
      </w:r>
      <w:proofErr w:type="spellStart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>Loft</w:t>
      </w:r>
      <w:proofErr w:type="spellEnd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>Publications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5A7E5621" w14:textId="49D635F7" w:rsidR="004252F6" w:rsidRPr="004252F6" w:rsidRDefault="007F3F62" w:rsidP="004252F6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125908997"/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9E3F82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bookmarkEnd w:id="2"/>
      <w:proofErr w:type="spellStart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>Judith</w:t>
      </w:r>
      <w:proofErr w:type="spellEnd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Miller, Stílus és forma – Az iparművészet képes enciklopédiája. 2007. </w:t>
      </w:r>
      <w:proofErr w:type="spellStart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>Geopen</w:t>
      </w:r>
      <w:proofErr w:type="spellEnd"/>
      <w:r w:rsidR="004252F6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Kiadó</w:t>
      </w:r>
    </w:p>
    <w:p w14:paraId="2B5343E5" w14:textId="5AFEE645" w:rsidR="004252F6" w:rsidRPr="004252F6" w:rsidRDefault="004252F6" w:rsidP="004252F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Alexander von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Vegesack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Thonet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– Hajlítottfa- és csővázas bútorok. Budapest 2009, Cser Kiadó</w:t>
      </w:r>
    </w:p>
    <w:p w14:paraId="34607525" w14:textId="488D2D0E" w:rsidR="004252F6" w:rsidRPr="004252F6" w:rsidRDefault="004252F6" w:rsidP="004252F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Rostás Péter Bútorművészet Magyarországon 1800 -1850. Budapest 2012 Budapesti Történeti Múzeum</w:t>
      </w:r>
    </w:p>
    <w:p w14:paraId="737AD4D2" w14:textId="17BBF643" w:rsidR="004252F6" w:rsidRPr="004252F6" w:rsidRDefault="004252F6" w:rsidP="004252F6">
      <w:pPr>
        <w:ind w:left="709" w:hanging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Slézia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József, Kortárs magyar formatervezés 2000-2013. Budapest 2014. Designtrend Kiadói és Szolgáltató Kft.</w:t>
      </w:r>
    </w:p>
    <w:p w14:paraId="4A4367F6" w14:textId="5D0B4B56" w:rsidR="004252F6" w:rsidRPr="004252F6" w:rsidRDefault="004252F6" w:rsidP="004252F6">
      <w:pPr>
        <w:ind w:left="709" w:hanging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Timothy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Samara, A grafikai tervezés kézikönyve – Elemek, összefüggések és szabályok. Budapest 2015.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Scolar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Kiadó</w:t>
      </w:r>
    </w:p>
    <w:p w14:paraId="4861DBA2" w14:textId="60FE333F" w:rsidR="004252F6" w:rsidRPr="004252F6" w:rsidRDefault="004252F6" w:rsidP="004252F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Alice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Twemlow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: Mire jó a grafikai </w:t>
      </w:r>
      <w:proofErr w:type="gram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tervezés?.</w:t>
      </w:r>
      <w:proofErr w:type="gram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Budapest 2008. </w:t>
      </w:r>
      <w:proofErr w:type="spell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Scolar</w:t>
      </w:r>
      <w:proofErr w:type="spell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Kiadó</w:t>
      </w:r>
    </w:p>
    <w:p w14:paraId="4B779C14" w14:textId="1300D733" w:rsidR="007F3F62" w:rsidRDefault="004252F6" w:rsidP="004252F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H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zai </w:t>
      </w:r>
      <w:proofErr w:type="gramStart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folyóiratok :</w:t>
      </w:r>
      <w:proofErr w:type="gramEnd"/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Új Magyar Építőművészet; Átrium, Oktogon, Alaprajz., Metszet</w:t>
      </w:r>
    </w:p>
    <w:p w14:paraId="224C74CE" w14:textId="1DF052E9" w:rsidR="004252F6" w:rsidRPr="007F3F62" w:rsidRDefault="004252F6" w:rsidP="004252F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3.]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Külföldi folyóiratok: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Divisare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Archdaily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Dezeen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, Domusweb, designboom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0EE29E88" w:rsidR="00171C3D" w:rsidRPr="004252F6" w:rsidRDefault="00171C3D" w:rsidP="004252F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4252F6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4252F6" w:rsidRDefault="00171C3D" w:rsidP="004252F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4252F6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4252F6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4252F6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4252F6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4252F6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4252F6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26E87963" w:rsidR="004D5A67" w:rsidRPr="004252F6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252F6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4252F6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780FF8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780FF8">
        <w:rPr>
          <w:b/>
          <w:bCs/>
          <w:sz w:val="20"/>
          <w:szCs w:val="20"/>
          <w:lang w:val="hu-HU"/>
        </w:rPr>
        <w:t>Metodika és szempontrendszer:</w:t>
      </w:r>
    </w:p>
    <w:p w14:paraId="69311A22" w14:textId="77777777" w:rsidR="004252F6" w:rsidRPr="004252F6" w:rsidRDefault="004252F6" w:rsidP="004252F6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4252F6">
        <w:rPr>
          <w:rFonts w:eastAsia="Arial Unicode MS"/>
          <w:bCs w:val="0"/>
          <w:i w:val="0"/>
          <w:color w:val="auto"/>
          <w:sz w:val="20"/>
          <w:lang w:val="hu-HU"/>
        </w:rPr>
        <w:t>A hallgatók problémafeldolgozási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6E78C659" w14:textId="2629EDAB" w:rsidR="00A10E47" w:rsidRPr="00D12C66" w:rsidRDefault="00A10E47" w:rsidP="004252F6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26EDD5DD" w14:textId="48D6CDB4" w:rsidR="00B37256" w:rsidRDefault="00B37256" w:rsidP="00B37256">
      <w:pPr>
        <w:pStyle w:val="Nincstrkz"/>
        <w:rPr>
          <w:sz w:val="20"/>
          <w:szCs w:val="20"/>
          <w:lang w:val="hu-HU"/>
        </w:rPr>
      </w:pPr>
      <w:r>
        <w:rPr>
          <w:bCs/>
          <w:i/>
          <w:sz w:val="20"/>
          <w:lang w:val="hu-HU"/>
        </w:rPr>
        <w:t>T</w:t>
      </w:r>
      <w:r w:rsidRPr="004252F6">
        <w:rPr>
          <w:sz w:val="20"/>
          <w:lang w:val="hu-HU"/>
        </w:rPr>
        <w:t>ervezési feladat egy lakótér tervezése</w:t>
      </w:r>
      <w:r>
        <w:rPr>
          <w:sz w:val="20"/>
          <w:lang w:val="hu-HU"/>
        </w:rPr>
        <w:t>.</w:t>
      </w:r>
      <w:r>
        <w:rPr>
          <w:sz w:val="20"/>
          <w:lang w:val="hu-HU"/>
        </w:rPr>
        <w:br/>
      </w:r>
      <w:r w:rsidRPr="00B37256">
        <w:rPr>
          <w:sz w:val="20"/>
          <w:szCs w:val="20"/>
          <w:lang w:val="hu-HU"/>
        </w:rPr>
        <w:t>A lakóegységek alaprajza a kiadottak szerinti, belmagasságuk minden esetben 4.00 m.</w:t>
      </w:r>
    </w:p>
    <w:p w14:paraId="191BF96A" w14:textId="77777777" w:rsidR="00B37256" w:rsidRPr="00B37256" w:rsidRDefault="00B37256" w:rsidP="00B37256">
      <w:pPr>
        <w:pStyle w:val="Nincstrkz"/>
        <w:rPr>
          <w:sz w:val="20"/>
          <w:szCs w:val="20"/>
          <w:lang w:val="hu-HU"/>
        </w:rPr>
      </w:pPr>
    </w:p>
    <w:p w14:paraId="075F2620" w14:textId="72EDAA06" w:rsidR="00B37256" w:rsidRPr="00B37256" w:rsidRDefault="00B37256" w:rsidP="00B37256">
      <w:pPr>
        <w:pStyle w:val="Nincstrkz"/>
        <w:rPr>
          <w:sz w:val="20"/>
          <w:szCs w:val="20"/>
          <w:lang w:val="hu-HU"/>
        </w:rPr>
      </w:pPr>
      <w:r w:rsidRPr="00B37256">
        <w:rPr>
          <w:sz w:val="20"/>
          <w:szCs w:val="20"/>
          <w:highlight w:val="yellow"/>
          <w:lang w:val="hu-HU"/>
        </w:rPr>
        <w:t>kinek?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B37256">
        <w:rPr>
          <w:sz w:val="20"/>
          <w:szCs w:val="20"/>
          <w:lang w:val="hu-HU"/>
        </w:rPr>
        <w:t xml:space="preserve">Szabadon választott mese/ képregény /könyv /film /sorozat főhősének. </w:t>
      </w:r>
    </w:p>
    <w:p w14:paraId="684640BC" w14:textId="77777777" w:rsidR="00B37256" w:rsidRPr="00B37256" w:rsidRDefault="00B37256" w:rsidP="00B37256">
      <w:pPr>
        <w:pStyle w:val="Nincstrkz"/>
        <w:rPr>
          <w:sz w:val="20"/>
          <w:szCs w:val="20"/>
          <w:lang w:val="hu-HU"/>
        </w:rPr>
      </w:pPr>
    </w:p>
    <w:p w14:paraId="70075BA6" w14:textId="07715479" w:rsidR="00B37256" w:rsidRPr="00B37256" w:rsidRDefault="00B37256" w:rsidP="00B37256">
      <w:pPr>
        <w:pStyle w:val="Nincstrkz"/>
        <w:ind w:left="1418" w:hanging="1418"/>
        <w:rPr>
          <w:sz w:val="20"/>
          <w:szCs w:val="20"/>
          <w:lang w:val="hu-HU"/>
        </w:rPr>
      </w:pPr>
      <w:r w:rsidRPr="00B37256">
        <w:rPr>
          <w:sz w:val="20"/>
          <w:szCs w:val="20"/>
          <w:highlight w:val="yellow"/>
          <w:lang w:val="hu-HU"/>
        </w:rPr>
        <w:t>mit?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B37256">
        <w:rPr>
          <w:sz w:val="20"/>
          <w:szCs w:val="20"/>
          <w:lang w:val="hu-HU"/>
        </w:rPr>
        <w:t>A lakótér két fő számára készül és legalább a következő berendezési tárgyakat kell elhelyezni benne:</w:t>
      </w:r>
      <w:r>
        <w:rPr>
          <w:sz w:val="20"/>
          <w:szCs w:val="20"/>
          <w:lang w:val="hu-HU"/>
        </w:rPr>
        <w:br/>
      </w:r>
      <w:r w:rsidRPr="00B37256">
        <w:rPr>
          <w:sz w:val="20"/>
          <w:szCs w:val="20"/>
          <w:lang w:val="hu-HU"/>
        </w:rPr>
        <w:t xml:space="preserve">1 db </w:t>
      </w:r>
      <w:proofErr w:type="spellStart"/>
      <w:r w:rsidRPr="00B37256">
        <w:rPr>
          <w:sz w:val="20"/>
          <w:szCs w:val="20"/>
          <w:lang w:val="hu-HU"/>
        </w:rPr>
        <w:t>wc</w:t>
      </w:r>
      <w:proofErr w:type="spellEnd"/>
      <w:r w:rsidRPr="00B37256">
        <w:rPr>
          <w:sz w:val="20"/>
          <w:szCs w:val="20"/>
          <w:lang w:val="hu-HU"/>
        </w:rPr>
        <w:t xml:space="preserve"> csésze, 1 db mosdó, 1 zuhany, 1 mosógép, 1 mosogató medence, 1 konyhapult szekrénnyel 60×60 cm, 1 tűzhely sütővel, 1 hűtő, 1 asztal, 2 szék, 2 ágy (fekvőfelület: 90×200/fő), szekrény (60×60×200 cm/fő).</w:t>
      </w:r>
    </w:p>
    <w:p w14:paraId="6553E70A" w14:textId="77777777" w:rsidR="00B37256" w:rsidRPr="00B37256" w:rsidRDefault="00B37256" w:rsidP="00B37256">
      <w:pPr>
        <w:pStyle w:val="Nincstrkz"/>
        <w:rPr>
          <w:sz w:val="20"/>
          <w:szCs w:val="20"/>
          <w:lang w:val="hu-HU"/>
        </w:rPr>
      </w:pPr>
    </w:p>
    <w:p w14:paraId="0102DEA9" w14:textId="3A468DF8" w:rsidR="00B37256" w:rsidRDefault="00B37256" w:rsidP="00B37256">
      <w:pPr>
        <w:pStyle w:val="Nincstrkz"/>
        <w:ind w:left="1418" w:hanging="1418"/>
        <w:rPr>
          <w:sz w:val="20"/>
          <w:szCs w:val="20"/>
          <w:lang w:val="hu-HU"/>
        </w:rPr>
      </w:pPr>
      <w:r w:rsidRPr="00B37256">
        <w:rPr>
          <w:sz w:val="20"/>
          <w:szCs w:val="20"/>
          <w:highlight w:val="yellow"/>
          <w:lang w:val="hu-HU"/>
        </w:rPr>
        <w:t>cél: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B37256">
        <w:rPr>
          <w:sz w:val="20"/>
          <w:szCs w:val="20"/>
          <w:lang w:val="hu-HU"/>
        </w:rPr>
        <w:t xml:space="preserve">A fenti berendezési tárgyak </w:t>
      </w:r>
      <w:proofErr w:type="spellStart"/>
      <w:r w:rsidRPr="00B37256">
        <w:rPr>
          <w:sz w:val="20"/>
          <w:szCs w:val="20"/>
          <w:lang w:val="hu-HU"/>
        </w:rPr>
        <w:t>felhasználával</w:t>
      </w:r>
      <w:proofErr w:type="spellEnd"/>
      <w:r w:rsidRPr="00B37256">
        <w:rPr>
          <w:sz w:val="20"/>
          <w:szCs w:val="20"/>
          <w:lang w:val="hu-HU"/>
        </w:rPr>
        <w:t xml:space="preserve"> a választott karakterhez illő kiegészítésekkel, valamint a hozzá illő megjelenéssel a lehető legnagyobb komforttal rendelkező lakóegységek létrehozása.</w:t>
      </w:r>
    </w:p>
    <w:p w14:paraId="0D4BE0D6" w14:textId="77777777" w:rsidR="00B37256" w:rsidRPr="00B37256" w:rsidRDefault="00B37256" w:rsidP="00B37256">
      <w:pPr>
        <w:pStyle w:val="Nincstrkz"/>
        <w:ind w:left="1418" w:hanging="1418"/>
        <w:rPr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lastRenderedPageBreak/>
        <w:t>Feladatok és követelményrendszerük</w:t>
      </w:r>
    </w:p>
    <w:p w14:paraId="48DF55BF" w14:textId="77777777" w:rsidR="004252F6" w:rsidRPr="004252F6" w:rsidRDefault="004252F6" w:rsidP="004252F6">
      <w:pPr>
        <w:pStyle w:val="Nincstrkz"/>
        <w:ind w:left="720"/>
        <w:rPr>
          <w:b/>
          <w:bCs/>
          <w:sz w:val="20"/>
          <w:lang w:val="hu-HU"/>
        </w:rPr>
      </w:pPr>
      <w:r w:rsidRPr="004252F6">
        <w:rPr>
          <w:b/>
          <w:bCs/>
          <w:sz w:val="20"/>
          <w:lang w:val="hu-HU"/>
        </w:rPr>
        <w:t>1. ciklus feladat formai és alaki minimum követelményei:</w:t>
      </w:r>
    </w:p>
    <w:p w14:paraId="3AE96C95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Beadandó:</w:t>
      </w:r>
    </w:p>
    <w:p w14:paraId="27F7750F" w14:textId="45311FB5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_ Előtanulmány A</w:t>
      </w:r>
      <w:r w:rsidR="005503EF">
        <w:rPr>
          <w:sz w:val="20"/>
          <w:lang w:val="hu-HU"/>
        </w:rPr>
        <w:t>4</w:t>
      </w:r>
      <w:r w:rsidRPr="004252F6">
        <w:rPr>
          <w:sz w:val="20"/>
          <w:lang w:val="hu-HU"/>
        </w:rPr>
        <w:t>-</w:t>
      </w:r>
      <w:r w:rsidR="005503EF">
        <w:rPr>
          <w:sz w:val="20"/>
          <w:lang w:val="hu-HU"/>
        </w:rPr>
        <w:t>e</w:t>
      </w:r>
      <w:r w:rsidRPr="004252F6">
        <w:rPr>
          <w:sz w:val="20"/>
          <w:lang w:val="hu-HU"/>
        </w:rPr>
        <w:t>s</w:t>
      </w:r>
      <w:r w:rsidR="005503EF">
        <w:rPr>
          <w:sz w:val="20"/>
          <w:lang w:val="hu-HU"/>
        </w:rPr>
        <w:t>, kétoldalasra szerkesztett</w:t>
      </w:r>
      <w:r w:rsidRPr="004252F6">
        <w:rPr>
          <w:sz w:val="20"/>
          <w:lang w:val="hu-HU"/>
        </w:rPr>
        <w:t xml:space="preserve"> füzetben - vagy a konzulens által meghatározott </w:t>
      </w:r>
      <w:r w:rsidR="005503EF" w:rsidRPr="004252F6">
        <w:rPr>
          <w:sz w:val="20"/>
          <w:lang w:val="hu-HU"/>
        </w:rPr>
        <w:t>formátumban</w:t>
      </w:r>
      <w:r w:rsidR="00C54A9D">
        <w:rPr>
          <w:sz w:val="20"/>
          <w:lang w:val="hu-HU"/>
        </w:rPr>
        <w:t xml:space="preserve">. Minimum 3 </w:t>
      </w:r>
      <w:proofErr w:type="spellStart"/>
      <w:r w:rsidR="00C54A9D">
        <w:rPr>
          <w:sz w:val="20"/>
          <w:lang w:val="hu-HU"/>
        </w:rPr>
        <w:t>példaéerékűnek</w:t>
      </w:r>
      <w:proofErr w:type="spellEnd"/>
      <w:r w:rsidR="00C54A9D">
        <w:rPr>
          <w:sz w:val="20"/>
          <w:lang w:val="hu-HU"/>
        </w:rPr>
        <w:t xml:space="preserve"> tartott belső tér bemutatása fotókkal, alaprajzokkal, metszetekkel, </w:t>
      </w:r>
      <w:proofErr w:type="spellStart"/>
      <w:r w:rsidR="00C54A9D">
        <w:rPr>
          <w:sz w:val="20"/>
          <w:lang w:val="hu-HU"/>
        </w:rPr>
        <w:t>stb</w:t>
      </w:r>
      <w:proofErr w:type="spellEnd"/>
      <w:r w:rsidR="00C54A9D">
        <w:rPr>
          <w:sz w:val="20"/>
          <w:lang w:val="hu-HU"/>
        </w:rPr>
        <w:t xml:space="preserve">, ill. </w:t>
      </w:r>
      <w:proofErr w:type="spellStart"/>
      <w:r w:rsidR="00C54A9D">
        <w:rPr>
          <w:sz w:val="20"/>
          <w:lang w:val="hu-HU"/>
        </w:rPr>
        <w:t>példánként</w:t>
      </w:r>
      <w:proofErr w:type="spellEnd"/>
      <w:r w:rsidR="00C54A9D">
        <w:rPr>
          <w:sz w:val="20"/>
          <w:lang w:val="hu-HU"/>
        </w:rPr>
        <w:t xml:space="preserve"> 1500-2000 karakteres jellemzéssel.</w:t>
      </w:r>
    </w:p>
    <w:p w14:paraId="5B528DA0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</w:p>
    <w:p w14:paraId="0910106A" w14:textId="1B479281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_ A belső térre készített vázlattervek, a kísérleti tervezés koncepcionális feldolgozása A/</w:t>
      </w:r>
      <w:r w:rsidR="005503EF">
        <w:rPr>
          <w:sz w:val="20"/>
          <w:lang w:val="hu-HU"/>
        </w:rPr>
        <w:t>4</w:t>
      </w:r>
      <w:r w:rsidRPr="004252F6">
        <w:rPr>
          <w:sz w:val="20"/>
          <w:lang w:val="hu-HU"/>
        </w:rPr>
        <w:t>-</w:t>
      </w:r>
      <w:r w:rsidR="005503EF">
        <w:rPr>
          <w:sz w:val="20"/>
          <w:lang w:val="hu-HU"/>
        </w:rPr>
        <w:t>e</w:t>
      </w:r>
      <w:r w:rsidRPr="004252F6">
        <w:rPr>
          <w:sz w:val="20"/>
          <w:lang w:val="hu-HU"/>
        </w:rPr>
        <w:t>s</w:t>
      </w:r>
      <w:r w:rsidR="005503EF">
        <w:rPr>
          <w:sz w:val="20"/>
          <w:lang w:val="hu-HU"/>
        </w:rPr>
        <w:t>, kétoldalasra szerkesztett</w:t>
      </w:r>
      <w:r w:rsidRPr="004252F6">
        <w:rPr>
          <w:sz w:val="20"/>
          <w:lang w:val="hu-HU"/>
        </w:rPr>
        <w:t xml:space="preserve"> füzetben:</w:t>
      </w:r>
    </w:p>
    <w:p w14:paraId="48526B74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Minimum tartalom:</w:t>
      </w:r>
    </w:p>
    <w:p w14:paraId="1CF11CC8" w14:textId="75666E7D" w:rsidR="004252F6" w:rsidRPr="004252F6" w:rsidRDefault="004252F6" w:rsidP="004252F6">
      <w:pPr>
        <w:pStyle w:val="Nincstrkz"/>
        <w:numPr>
          <w:ilvl w:val="1"/>
          <w:numId w:val="27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vizsgálati szempontokat, kiindulási pontokat bemutató ábrasorok, tervrajzok</w:t>
      </w:r>
    </w:p>
    <w:p w14:paraId="31CB2CAA" w14:textId="77777777" w:rsidR="005503EF" w:rsidRDefault="004252F6" w:rsidP="005503EF">
      <w:pPr>
        <w:pStyle w:val="Nincstrkz"/>
        <w:numPr>
          <w:ilvl w:val="1"/>
          <w:numId w:val="27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koncepciókat bemutató ábrasorok, tervrajzok</w:t>
      </w:r>
    </w:p>
    <w:p w14:paraId="13FF5F5F" w14:textId="2CB1886B" w:rsidR="004252F6" w:rsidRPr="005503EF" w:rsidRDefault="004252F6" w:rsidP="005503EF">
      <w:pPr>
        <w:pStyle w:val="Nincstrkz"/>
        <w:numPr>
          <w:ilvl w:val="1"/>
          <w:numId w:val="27"/>
        </w:numPr>
        <w:rPr>
          <w:sz w:val="20"/>
          <w:lang w:val="hu-HU"/>
        </w:rPr>
      </w:pPr>
      <w:r w:rsidRPr="005503EF">
        <w:rPr>
          <w:rFonts w:hint="eastAsia"/>
          <w:sz w:val="20"/>
          <w:lang w:val="hu-HU"/>
        </w:rPr>
        <w:t>kísérleti térmodellek</w:t>
      </w:r>
      <w:r w:rsidR="005503EF" w:rsidRPr="005503EF">
        <w:rPr>
          <w:sz w:val="20"/>
          <w:lang w:val="hu-HU"/>
        </w:rPr>
        <w:t xml:space="preserve"> és/vagy kísérleti tömegvázlatok</w:t>
      </w:r>
      <w:r w:rsidRPr="005503EF">
        <w:rPr>
          <w:rFonts w:hint="eastAsia"/>
          <w:sz w:val="20"/>
          <w:lang w:val="hu-HU"/>
        </w:rPr>
        <w:t xml:space="preserve"> választható léptékben</w:t>
      </w:r>
    </w:p>
    <w:p w14:paraId="46FA8379" w14:textId="55F435CC" w:rsidR="004252F6" w:rsidRPr="004252F6" w:rsidRDefault="004252F6" w:rsidP="004252F6">
      <w:pPr>
        <w:pStyle w:val="Nincstrkz"/>
        <w:numPr>
          <w:ilvl w:val="1"/>
          <w:numId w:val="27"/>
        </w:numPr>
        <w:rPr>
          <w:sz w:val="20"/>
          <w:lang w:val="hu-HU"/>
        </w:rPr>
      </w:pPr>
      <w:proofErr w:type="spellStart"/>
      <w:r w:rsidRPr="004252F6">
        <w:rPr>
          <w:rFonts w:hint="eastAsia"/>
          <w:sz w:val="20"/>
          <w:lang w:val="hu-HU"/>
        </w:rPr>
        <w:t>moodboardok</w:t>
      </w:r>
      <w:proofErr w:type="spellEnd"/>
      <w:r w:rsidRPr="004252F6">
        <w:rPr>
          <w:rFonts w:hint="eastAsia"/>
          <w:sz w:val="20"/>
          <w:lang w:val="hu-HU"/>
        </w:rPr>
        <w:t xml:space="preserve"> </w:t>
      </w:r>
    </w:p>
    <w:p w14:paraId="13928922" w14:textId="430D4608" w:rsidR="004252F6" w:rsidRPr="004252F6" w:rsidRDefault="004252F6" w:rsidP="004252F6">
      <w:pPr>
        <w:pStyle w:val="Nincstrkz"/>
        <w:numPr>
          <w:ilvl w:val="1"/>
          <w:numId w:val="27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leírás formaképzésre, anyaghasználatra vonatkozóan</w:t>
      </w:r>
    </w:p>
    <w:p w14:paraId="77A39E76" w14:textId="2E68629E" w:rsidR="004252F6" w:rsidRPr="004252F6" w:rsidRDefault="004252F6" w:rsidP="004252F6">
      <w:pPr>
        <w:pStyle w:val="Nincstrkz"/>
        <w:numPr>
          <w:ilvl w:val="1"/>
          <w:numId w:val="27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ergonómiai és anyagtani analízisek szükséges számban</w:t>
      </w:r>
    </w:p>
    <w:p w14:paraId="5B030F26" w14:textId="24C9CD20" w:rsidR="004252F6" w:rsidRPr="004252F6" w:rsidRDefault="004252F6" w:rsidP="004252F6">
      <w:pPr>
        <w:pStyle w:val="Nincstrkz"/>
        <w:numPr>
          <w:ilvl w:val="1"/>
          <w:numId w:val="27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alaprajz</w:t>
      </w:r>
      <w:r w:rsidR="005503EF">
        <w:rPr>
          <w:sz w:val="20"/>
          <w:lang w:val="hu-HU"/>
        </w:rPr>
        <w:t>(ok)</w:t>
      </w:r>
      <w:r w:rsidRPr="004252F6">
        <w:rPr>
          <w:rFonts w:hint="eastAsia"/>
          <w:sz w:val="20"/>
          <w:lang w:val="hu-HU"/>
        </w:rPr>
        <w:t xml:space="preserve"> m 1:</w:t>
      </w:r>
      <w:r w:rsidR="005503EF">
        <w:rPr>
          <w:sz w:val="20"/>
          <w:lang w:val="hu-HU"/>
        </w:rPr>
        <w:t>50</w:t>
      </w:r>
    </w:p>
    <w:p w14:paraId="1F690F6E" w14:textId="0328B5D4" w:rsidR="004252F6" w:rsidRPr="004252F6" w:rsidRDefault="004252F6" w:rsidP="004252F6">
      <w:pPr>
        <w:pStyle w:val="Nincstrkz"/>
        <w:numPr>
          <w:ilvl w:val="1"/>
          <w:numId w:val="27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metszetek, falnézetek m 1</w:t>
      </w:r>
      <w:r w:rsidR="005503EF">
        <w:rPr>
          <w:sz w:val="20"/>
          <w:lang w:val="hu-HU"/>
        </w:rPr>
        <w:t>:50</w:t>
      </w:r>
    </w:p>
    <w:p w14:paraId="1C81B4A6" w14:textId="0D88FFC1" w:rsidR="004252F6" w:rsidRDefault="004252F6" w:rsidP="004252F6">
      <w:pPr>
        <w:pStyle w:val="Nincstrkz"/>
        <w:numPr>
          <w:ilvl w:val="1"/>
          <w:numId w:val="27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látványtervek min: 3 db</w:t>
      </w:r>
    </w:p>
    <w:p w14:paraId="5BC840A4" w14:textId="77777777" w:rsidR="004252F6" w:rsidRPr="004252F6" w:rsidRDefault="004252F6" w:rsidP="004252F6">
      <w:pPr>
        <w:pStyle w:val="Nincstrkz"/>
        <w:ind w:left="1440"/>
        <w:rPr>
          <w:sz w:val="20"/>
          <w:lang w:val="hu-HU"/>
        </w:rPr>
      </w:pPr>
    </w:p>
    <w:p w14:paraId="36FBF4EF" w14:textId="77777777" w:rsidR="004252F6" w:rsidRPr="004252F6" w:rsidRDefault="004252F6" w:rsidP="004252F6">
      <w:pPr>
        <w:pStyle w:val="Nincstrkz"/>
        <w:ind w:left="720"/>
        <w:rPr>
          <w:b/>
          <w:bCs/>
          <w:sz w:val="20"/>
          <w:lang w:val="hu-HU"/>
        </w:rPr>
      </w:pPr>
      <w:r w:rsidRPr="004252F6">
        <w:rPr>
          <w:b/>
          <w:bCs/>
          <w:sz w:val="20"/>
          <w:lang w:val="hu-HU"/>
        </w:rPr>
        <w:t>2. ciklus</w:t>
      </w:r>
    </w:p>
    <w:p w14:paraId="6F5D090F" w14:textId="2C64BB65" w:rsidR="004252F6" w:rsidRPr="004252F6" w:rsidRDefault="004252F6" w:rsidP="004252F6">
      <w:pPr>
        <w:pStyle w:val="Nincstrkz"/>
        <w:ind w:left="720"/>
        <w:rPr>
          <w:b/>
          <w:bCs/>
          <w:sz w:val="20"/>
          <w:lang w:val="hu-HU"/>
        </w:rPr>
      </w:pPr>
      <w:r w:rsidRPr="004252F6">
        <w:rPr>
          <w:b/>
          <w:bCs/>
          <w:sz w:val="20"/>
          <w:lang w:val="hu-HU"/>
        </w:rPr>
        <w:t xml:space="preserve">Végleges féléves terv </w:t>
      </w:r>
    </w:p>
    <w:p w14:paraId="5F316AE0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A bizottság külön értékeli a beadott munkánál:</w:t>
      </w:r>
    </w:p>
    <w:p w14:paraId="05DDF8E8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a.)</w:t>
      </w:r>
      <w:r w:rsidRPr="004252F6">
        <w:rPr>
          <w:sz w:val="20"/>
          <w:lang w:val="hu-HU"/>
        </w:rPr>
        <w:tab/>
        <w:t>A terv minőségét és helyességét.</w:t>
      </w:r>
    </w:p>
    <w:p w14:paraId="2FA2947B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proofErr w:type="spellStart"/>
      <w:r w:rsidRPr="004252F6">
        <w:rPr>
          <w:sz w:val="20"/>
          <w:lang w:val="hu-HU"/>
        </w:rPr>
        <w:t>b.</w:t>
      </w:r>
      <w:proofErr w:type="spellEnd"/>
      <w:r w:rsidRPr="004252F6">
        <w:rPr>
          <w:sz w:val="20"/>
          <w:lang w:val="hu-HU"/>
        </w:rPr>
        <w:t>)</w:t>
      </w:r>
      <w:r w:rsidRPr="004252F6">
        <w:rPr>
          <w:sz w:val="20"/>
          <w:lang w:val="hu-HU"/>
        </w:rPr>
        <w:tab/>
        <w:t>A prezentáció feldolgozottságát, külalakját, és grafikai minőségét.</w:t>
      </w:r>
    </w:p>
    <w:p w14:paraId="0B26EF01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</w:p>
    <w:p w14:paraId="6FABB54E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2957572A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2176DA96" w14:textId="77777777" w:rsidR="004252F6" w:rsidRPr="004252F6" w:rsidRDefault="004252F6" w:rsidP="004252F6">
      <w:pPr>
        <w:pStyle w:val="Nincstrkz"/>
        <w:rPr>
          <w:b/>
          <w:bCs/>
          <w:sz w:val="20"/>
          <w:lang w:val="hu-HU"/>
        </w:rPr>
      </w:pPr>
    </w:p>
    <w:p w14:paraId="67AC65CF" w14:textId="77777777" w:rsidR="004252F6" w:rsidRPr="004252F6" w:rsidRDefault="004252F6" w:rsidP="004252F6">
      <w:pPr>
        <w:pStyle w:val="Nincstrkz"/>
        <w:ind w:left="720"/>
        <w:rPr>
          <w:b/>
          <w:bCs/>
          <w:sz w:val="20"/>
          <w:lang w:val="hu-HU"/>
        </w:rPr>
      </w:pPr>
    </w:p>
    <w:p w14:paraId="5BCAB4AD" w14:textId="77777777" w:rsidR="004252F6" w:rsidRPr="004252F6" w:rsidRDefault="004252F6" w:rsidP="004252F6">
      <w:pPr>
        <w:pStyle w:val="Nincstrkz"/>
        <w:ind w:left="720"/>
        <w:rPr>
          <w:b/>
          <w:bCs/>
          <w:sz w:val="20"/>
          <w:lang w:val="hu-HU"/>
        </w:rPr>
      </w:pPr>
      <w:r w:rsidRPr="004252F6">
        <w:rPr>
          <w:b/>
          <w:bCs/>
          <w:sz w:val="20"/>
          <w:lang w:val="hu-HU"/>
        </w:rPr>
        <w:t>2. ciklus feladat formai és alaki minimum követelményei:</w:t>
      </w:r>
    </w:p>
    <w:p w14:paraId="5EAD0EF2" w14:textId="77777777" w:rsidR="004252F6" w:rsidRPr="004252F6" w:rsidRDefault="004252F6" w:rsidP="004252F6">
      <w:pPr>
        <w:pStyle w:val="Nincstrkz"/>
        <w:rPr>
          <w:b/>
          <w:bCs/>
          <w:sz w:val="20"/>
          <w:lang w:val="hu-HU"/>
        </w:rPr>
      </w:pPr>
    </w:p>
    <w:p w14:paraId="3023504D" w14:textId="77777777" w:rsidR="004252F6" w:rsidRPr="004252F6" w:rsidRDefault="004252F6" w:rsidP="005503EF">
      <w:pPr>
        <w:pStyle w:val="Nincstrkz"/>
        <w:ind w:firstLine="720"/>
        <w:rPr>
          <w:sz w:val="20"/>
          <w:lang w:val="hu-HU"/>
        </w:rPr>
      </w:pPr>
      <w:r w:rsidRPr="004252F6">
        <w:rPr>
          <w:sz w:val="20"/>
          <w:lang w:val="hu-HU"/>
        </w:rPr>
        <w:t>Minimum tartalom:</w:t>
      </w:r>
    </w:p>
    <w:p w14:paraId="55CC7383" w14:textId="5508698F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vizsgálati szempontokat, kiindulási pontokat bemutató ábrasorok, tervrajzok</w:t>
      </w:r>
    </w:p>
    <w:p w14:paraId="1F7844C1" w14:textId="5DB2AE45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 xml:space="preserve">koncepciókat bemutató ábrasorok, </w:t>
      </w:r>
      <w:proofErr w:type="gramStart"/>
      <w:r w:rsidRPr="004252F6">
        <w:rPr>
          <w:rFonts w:hint="eastAsia"/>
          <w:sz w:val="20"/>
          <w:lang w:val="hu-HU"/>
        </w:rPr>
        <w:t>tervrajzok(</w:t>
      </w:r>
      <w:proofErr w:type="gramEnd"/>
      <w:r w:rsidRPr="004252F6">
        <w:rPr>
          <w:rFonts w:hint="eastAsia"/>
          <w:sz w:val="20"/>
          <w:lang w:val="hu-HU"/>
        </w:rPr>
        <w:t>javított, vagy jóváhagyott az 1.ciklus alapján)</w:t>
      </w:r>
    </w:p>
    <w:p w14:paraId="6751C841" w14:textId="77777777" w:rsidR="005503EF" w:rsidRPr="005503EF" w:rsidRDefault="005503EF" w:rsidP="005503EF">
      <w:pPr>
        <w:pStyle w:val="Nincstrkz"/>
        <w:numPr>
          <w:ilvl w:val="0"/>
          <w:numId w:val="29"/>
        </w:numPr>
        <w:rPr>
          <w:sz w:val="20"/>
          <w:lang w:val="hu-HU"/>
        </w:rPr>
      </w:pPr>
      <w:r w:rsidRPr="005503EF">
        <w:rPr>
          <w:rFonts w:hint="eastAsia"/>
          <w:sz w:val="20"/>
          <w:lang w:val="hu-HU"/>
        </w:rPr>
        <w:t>kísérleti térmodellek</w:t>
      </w:r>
      <w:r w:rsidRPr="005503EF">
        <w:rPr>
          <w:sz w:val="20"/>
          <w:lang w:val="hu-HU"/>
        </w:rPr>
        <w:t xml:space="preserve"> és/vagy kísérleti tömegvázlatok</w:t>
      </w:r>
      <w:r w:rsidRPr="005503EF">
        <w:rPr>
          <w:rFonts w:hint="eastAsia"/>
          <w:sz w:val="20"/>
          <w:lang w:val="hu-HU"/>
        </w:rPr>
        <w:t xml:space="preserve"> választható léptékben</w:t>
      </w:r>
    </w:p>
    <w:p w14:paraId="64E4BDDA" w14:textId="6506AF8C" w:rsidR="004252F6" w:rsidRPr="004252F6" w:rsidRDefault="004252F6" w:rsidP="005503EF">
      <w:pPr>
        <w:pStyle w:val="Nincstrkz"/>
        <w:numPr>
          <w:ilvl w:val="0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leírás formaképzésre, anyaghasználatra vonatkozóan</w:t>
      </w:r>
    </w:p>
    <w:p w14:paraId="36542E09" w14:textId="540D6E21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ergonómiai és anyagtani analízisek szükséges számban</w:t>
      </w:r>
    </w:p>
    <w:p w14:paraId="5676E0F1" w14:textId="3D91DE62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alaprajz m 1:2</w:t>
      </w:r>
      <w:r w:rsidR="003517AB">
        <w:rPr>
          <w:sz w:val="20"/>
          <w:lang w:val="hu-HU"/>
        </w:rPr>
        <w:t>0</w:t>
      </w:r>
    </w:p>
    <w:p w14:paraId="29A056F1" w14:textId="30DB491F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bútorozási terv m 1:2</w:t>
      </w:r>
      <w:r w:rsidR="003517AB">
        <w:rPr>
          <w:sz w:val="20"/>
          <w:lang w:val="hu-HU"/>
        </w:rPr>
        <w:t>0</w:t>
      </w:r>
    </w:p>
    <w:p w14:paraId="073429C8" w14:textId="66F7F2B9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burkolati terv</w:t>
      </w:r>
      <w:r w:rsidR="005503EF">
        <w:rPr>
          <w:sz w:val="20"/>
          <w:lang w:val="hu-HU"/>
        </w:rPr>
        <w:t>ek</w:t>
      </w:r>
      <w:r w:rsidRPr="004252F6">
        <w:rPr>
          <w:rFonts w:hint="eastAsia"/>
          <w:sz w:val="20"/>
          <w:lang w:val="hu-HU"/>
        </w:rPr>
        <w:t xml:space="preserve"> m1:2</w:t>
      </w:r>
      <w:r w:rsidR="003517AB">
        <w:rPr>
          <w:sz w:val="20"/>
          <w:lang w:val="hu-HU"/>
        </w:rPr>
        <w:t>0</w:t>
      </w:r>
    </w:p>
    <w:p w14:paraId="7733830B" w14:textId="760EF4B0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álmennyezeti terv m 1:2</w:t>
      </w:r>
      <w:r w:rsidR="003517AB">
        <w:rPr>
          <w:sz w:val="20"/>
          <w:lang w:val="hu-HU"/>
        </w:rPr>
        <w:t>0</w:t>
      </w:r>
      <w:r w:rsidRPr="004252F6">
        <w:rPr>
          <w:rFonts w:hint="eastAsia"/>
          <w:sz w:val="20"/>
          <w:lang w:val="hu-HU"/>
        </w:rPr>
        <w:t>(amennyiben releváns)</w:t>
      </w:r>
    </w:p>
    <w:p w14:paraId="0E372F57" w14:textId="1496780A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világítási terv m 1:2</w:t>
      </w:r>
      <w:r w:rsidR="003517AB">
        <w:rPr>
          <w:sz w:val="20"/>
          <w:lang w:val="hu-HU"/>
        </w:rPr>
        <w:t>0</w:t>
      </w:r>
    </w:p>
    <w:p w14:paraId="761FD745" w14:textId="529EED51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gépészeti berendezések m 1:2</w:t>
      </w:r>
      <w:r w:rsidR="003517AB">
        <w:rPr>
          <w:sz w:val="20"/>
          <w:lang w:val="hu-HU"/>
        </w:rPr>
        <w:t>0</w:t>
      </w:r>
      <w:r w:rsidRPr="004252F6">
        <w:rPr>
          <w:rFonts w:hint="eastAsia"/>
          <w:sz w:val="20"/>
          <w:lang w:val="hu-HU"/>
        </w:rPr>
        <w:t xml:space="preserve"> (amennyiben releváns)</w:t>
      </w:r>
    </w:p>
    <w:p w14:paraId="3E927AE3" w14:textId="33739298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metszetek, falnézetek m 1:2</w:t>
      </w:r>
      <w:r w:rsidR="003517AB">
        <w:rPr>
          <w:sz w:val="20"/>
          <w:lang w:val="hu-HU"/>
        </w:rPr>
        <w:t>0</w:t>
      </w:r>
    </w:p>
    <w:p w14:paraId="14812405" w14:textId="3CD03573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>egyedi bútorterv m 1:</w:t>
      </w:r>
      <w:r w:rsidR="005503EF">
        <w:rPr>
          <w:sz w:val="20"/>
          <w:lang w:val="hu-HU"/>
        </w:rPr>
        <w:t>2</w:t>
      </w:r>
      <w:r w:rsidR="003517AB">
        <w:rPr>
          <w:sz w:val="20"/>
          <w:lang w:val="hu-HU"/>
        </w:rPr>
        <w:t>0</w:t>
      </w:r>
    </w:p>
    <w:p w14:paraId="394F8738" w14:textId="17CC62DD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 xml:space="preserve">tömegvázlatok min: </w:t>
      </w:r>
      <w:r w:rsidR="005503EF">
        <w:rPr>
          <w:sz w:val="20"/>
          <w:lang w:val="hu-HU"/>
        </w:rPr>
        <w:t>5</w:t>
      </w:r>
      <w:r w:rsidRPr="004252F6">
        <w:rPr>
          <w:rFonts w:hint="eastAsia"/>
          <w:sz w:val="20"/>
          <w:lang w:val="hu-HU"/>
        </w:rPr>
        <w:t xml:space="preserve"> db</w:t>
      </w:r>
    </w:p>
    <w:p w14:paraId="3B033A0C" w14:textId="4FF79039" w:rsidR="004252F6" w:rsidRPr="004252F6" w:rsidRDefault="004252F6" w:rsidP="005503EF">
      <w:pPr>
        <w:pStyle w:val="Nincstrkz"/>
        <w:numPr>
          <w:ilvl w:val="1"/>
          <w:numId w:val="29"/>
        </w:numPr>
        <w:rPr>
          <w:sz w:val="20"/>
          <w:lang w:val="hu-HU"/>
        </w:rPr>
      </w:pPr>
      <w:r w:rsidRPr="004252F6">
        <w:rPr>
          <w:rFonts w:hint="eastAsia"/>
          <w:sz w:val="20"/>
          <w:lang w:val="hu-HU"/>
        </w:rPr>
        <w:t xml:space="preserve">papírmodell 1:20 </w:t>
      </w:r>
    </w:p>
    <w:p w14:paraId="05D6BBE0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</w:p>
    <w:p w14:paraId="19F227DD" w14:textId="77777777" w:rsidR="004252F6" w:rsidRPr="004252F6" w:rsidRDefault="004252F6" w:rsidP="004252F6">
      <w:pPr>
        <w:pStyle w:val="Nincstrkz"/>
        <w:ind w:left="720"/>
        <w:rPr>
          <w:sz w:val="20"/>
          <w:lang w:val="hu-HU"/>
        </w:rPr>
      </w:pPr>
      <w:r w:rsidRPr="004252F6">
        <w:rPr>
          <w:sz w:val="20"/>
          <w:lang w:val="hu-HU"/>
        </w:rPr>
        <w:t xml:space="preserve">A rajzok szerkesztett, léptéknek megfelelő műszaki tartalommal, igényességgel készülnek, jellemzően grafit, tus, toll, </w:t>
      </w:r>
      <w:proofErr w:type="spellStart"/>
      <w:r w:rsidRPr="004252F6">
        <w:rPr>
          <w:sz w:val="20"/>
          <w:lang w:val="hu-HU"/>
        </w:rPr>
        <w:t>aquarell</w:t>
      </w:r>
      <w:proofErr w:type="spellEnd"/>
      <w:r w:rsidRPr="004252F6">
        <w:rPr>
          <w:sz w:val="20"/>
          <w:lang w:val="hu-HU"/>
        </w:rPr>
        <w:t xml:space="preserve"> színes, filc felhasználásával. Skiccpauszra készülő rajzok esetén a pausz mindkét oldala használható, adott esetben a tabló és a skiccpausz közé bizonyos rajzi elemek hangsúlyozására kiegészítő lapok elhelyezhetőek.</w:t>
      </w:r>
    </w:p>
    <w:p w14:paraId="1081184B" w14:textId="79F0188E" w:rsidR="00326363" w:rsidRPr="0034588E" w:rsidRDefault="004252F6" w:rsidP="004252F6">
      <w:pPr>
        <w:pStyle w:val="Nincstrkz"/>
        <w:ind w:left="720"/>
        <w:rPr>
          <w:b/>
          <w:bCs/>
          <w:sz w:val="20"/>
          <w:lang w:val="hu-HU"/>
        </w:rPr>
      </w:pPr>
      <w:r w:rsidRPr="004252F6">
        <w:rPr>
          <w:sz w:val="20"/>
          <w:lang w:val="hu-HU"/>
        </w:rPr>
        <w:t>Számítógépes feldolgozás is lehetséges, a megfelelő grafikai minőség esetén.</w:t>
      </w:r>
      <w:r w:rsidRPr="004252F6">
        <w:rPr>
          <w:b/>
          <w:bCs/>
          <w:sz w:val="20"/>
          <w:lang w:val="hu-HU"/>
        </w:rPr>
        <w:t xml:space="preserve"> </w:t>
      </w:r>
      <w:r w:rsidR="00C20CEB" w:rsidRPr="0034588E">
        <w:rPr>
          <w:b/>
          <w:bCs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4A53404D" w14:textId="74A78F91" w:rsidR="00761C39" w:rsidRPr="00B37256" w:rsidRDefault="00415726" w:rsidP="00B37256">
      <w:pPr>
        <w:pStyle w:val="Cmsor2"/>
        <w:rPr>
          <w:rStyle w:val="None"/>
          <w:lang w:val="hu-HU"/>
        </w:rPr>
      </w:pPr>
      <w:r w:rsidRPr="00A601E6">
        <w:rPr>
          <w:lang w:val="hu-HU"/>
        </w:rPr>
        <w:t>Program heti bontásban</w:t>
      </w:r>
    </w:p>
    <w:p w14:paraId="29CE275D" w14:textId="77777777" w:rsidR="00B37256" w:rsidRDefault="00B3725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0FD34B" w14:textId="77777777" w:rsidR="00B37256" w:rsidRPr="00CD2805" w:rsidRDefault="00B3725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3047"/>
        <w:gridCol w:w="1559"/>
        <w:gridCol w:w="1206"/>
      </w:tblGrid>
      <w:tr w:rsidR="00B94C52" w:rsidRPr="003517AB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3517AB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3517AB" w14:paraId="6C438E96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3517AB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3517AB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047" w:type="dxa"/>
            <w:shd w:val="clear" w:color="auto" w:fill="auto"/>
          </w:tcPr>
          <w:p w14:paraId="13522B7D" w14:textId="77777777" w:rsidR="00B94C52" w:rsidRPr="003517AB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3517A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559" w:type="dxa"/>
            <w:shd w:val="clear" w:color="auto" w:fill="auto"/>
          </w:tcPr>
          <w:p w14:paraId="525B0F9C" w14:textId="77777777" w:rsidR="00B94C52" w:rsidRPr="003517AB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3517A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3517A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3517A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206" w:type="dxa"/>
            <w:shd w:val="clear" w:color="auto" w:fill="auto"/>
          </w:tcPr>
          <w:p w14:paraId="0A72AC2A" w14:textId="77777777" w:rsidR="00B94C52" w:rsidRPr="003517AB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3517AB" w14:paraId="1836D51C" w14:textId="77777777" w:rsidTr="009E3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3517AB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2A807DA4" w:rsidR="00B94C52" w:rsidRPr="003517AB" w:rsidRDefault="00036A5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Bevezetés, feladat ismertetése</w:t>
            </w:r>
          </w:p>
        </w:tc>
        <w:tc>
          <w:tcPr>
            <w:tcW w:w="3047" w:type="dxa"/>
            <w:shd w:val="clear" w:color="auto" w:fill="auto"/>
          </w:tcPr>
          <w:p w14:paraId="0E5766F4" w14:textId="77777777" w:rsidR="00B94C52" w:rsidRPr="003517AB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A1560BA" w14:textId="77777777" w:rsidR="00B94C52" w:rsidRPr="003517AB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06" w:type="dxa"/>
            <w:shd w:val="clear" w:color="auto" w:fill="auto"/>
          </w:tcPr>
          <w:p w14:paraId="312CA15A" w14:textId="77777777" w:rsidR="00B94C52" w:rsidRPr="003517AB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517AB" w:rsidRPr="003517AB" w14:paraId="3FEDC3DE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3517AB" w:rsidRPr="003517AB" w:rsidRDefault="003517AB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1F46A7FE" w:rsidR="003517AB" w:rsidRPr="003517AB" w:rsidRDefault="003517A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Programalkotás, </w:t>
            </w: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térhasználatok, funkciók</w:t>
            </w:r>
            <w:r w:rsidR="00B37256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B37256"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A karakter részletes bemutatása, igényeinek összegyűjtése. Ez hogyan vetíthető a lakására?</w:t>
            </w:r>
          </w:p>
        </w:tc>
        <w:tc>
          <w:tcPr>
            <w:tcW w:w="3047" w:type="dxa"/>
            <w:vMerge w:val="restart"/>
            <w:shd w:val="clear" w:color="auto" w:fill="auto"/>
          </w:tcPr>
          <w:p w14:paraId="4126DCF6" w14:textId="77777777" w:rsidR="003517AB" w:rsidRPr="003517AB" w:rsidRDefault="003517A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Barcz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Csanák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, Fülöp, Hegyi, Kalló, Kondor, Magyari, Nagy, Szentirmai, Szilágyi, Takács, Tatár, Térformálás tárgyformálás 1-3. Budapest 2007. Terc</w:t>
            </w:r>
          </w:p>
          <w:p w14:paraId="72C8E1EC" w14:textId="407CF5A5" w:rsidR="003517AB" w:rsidRPr="003517AB" w:rsidRDefault="003517AB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Hazai folyóiratok: Új Magyar Építőművészet; Átrium, Oktogon, Alaprajz., Metszet</w:t>
            </w:r>
          </w:p>
          <w:p w14:paraId="2FAFF989" w14:textId="728DAEEF" w:rsidR="003517AB" w:rsidRPr="003517AB" w:rsidRDefault="003517AB" w:rsidP="009E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Külföldi folyóiratok: </w:t>
            </w: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Divisare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Archdaily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Dezeen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, Domusweb, designboom</w:t>
            </w:r>
          </w:p>
        </w:tc>
        <w:tc>
          <w:tcPr>
            <w:tcW w:w="1559" w:type="dxa"/>
            <w:shd w:val="clear" w:color="auto" w:fill="auto"/>
          </w:tcPr>
          <w:p w14:paraId="0D04CB4C" w14:textId="5645178C" w:rsidR="003517AB" w:rsidRPr="003517AB" w:rsidRDefault="003517A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0BF7E3E0" w14:textId="77777777" w:rsidR="003517AB" w:rsidRPr="003517AB" w:rsidRDefault="003517A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517AB" w:rsidRPr="003517AB" w14:paraId="5499D110" w14:textId="77777777" w:rsidTr="009E3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3517AB" w:rsidRPr="003517AB" w:rsidRDefault="003517AB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7C21775A" w14:textId="77777777" w:rsidR="003517AB" w:rsidRPr="003517AB" w:rsidRDefault="003517A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Lakófunkció koncepcionális tervezése, térhasználatok, funkciók. </w:t>
            </w:r>
          </w:p>
          <w:p w14:paraId="0C413F58" w14:textId="3C64A52D" w:rsidR="003517AB" w:rsidRPr="003517AB" w:rsidRDefault="003517A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Inspirációs tanulmány bemutatása</w:t>
            </w:r>
          </w:p>
        </w:tc>
        <w:tc>
          <w:tcPr>
            <w:tcW w:w="3047" w:type="dxa"/>
            <w:vMerge/>
            <w:shd w:val="clear" w:color="auto" w:fill="auto"/>
          </w:tcPr>
          <w:p w14:paraId="3E27BC8E" w14:textId="77777777" w:rsidR="003517AB" w:rsidRPr="003517AB" w:rsidRDefault="003517A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5796629" w14:textId="18FDBE07" w:rsidR="003517AB" w:rsidRPr="003517AB" w:rsidRDefault="003517A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6D50ECD0" w14:textId="58DDFC33" w:rsidR="003517AB" w:rsidRPr="003517AB" w:rsidRDefault="00B3725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3. heti </w:t>
            </w:r>
            <w:r w:rsidR="003517AB" w:rsidRPr="003517AB">
              <w:rPr>
                <w:rFonts w:ascii="Times New Roman" w:hAnsi="Times New Roman"/>
                <w:sz w:val="20"/>
                <w:szCs w:val="20"/>
                <w:lang w:val="hu-HU"/>
              </w:rPr>
              <w:t>óra idejében</w:t>
            </w:r>
          </w:p>
        </w:tc>
      </w:tr>
      <w:tr w:rsidR="003517AB" w:rsidRPr="003517AB" w14:paraId="666E7B96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3517AB" w:rsidRPr="003517AB" w:rsidRDefault="003517AB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53CB4195" w:rsidR="003517AB" w:rsidRPr="003517AB" w:rsidRDefault="003517A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Lakófunkció koncepcionális tervezése, térhasználatok, funkciók</w:t>
            </w:r>
          </w:p>
        </w:tc>
        <w:tc>
          <w:tcPr>
            <w:tcW w:w="3047" w:type="dxa"/>
            <w:vMerge/>
            <w:shd w:val="clear" w:color="auto" w:fill="auto"/>
          </w:tcPr>
          <w:p w14:paraId="0978F4FE" w14:textId="77777777" w:rsidR="003517AB" w:rsidRPr="003517AB" w:rsidRDefault="003517A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05B78E9" w14:textId="128B455D" w:rsidR="003517AB" w:rsidRPr="003517AB" w:rsidRDefault="003517A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503A44CE" w14:textId="77777777" w:rsidR="003517AB" w:rsidRPr="003517AB" w:rsidRDefault="003517A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517AB" w:rsidRPr="003517AB" w14:paraId="1EE32BF5" w14:textId="77777777" w:rsidTr="009E3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3517AB" w:rsidRPr="003517AB" w:rsidRDefault="003517AB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7D6416E" w:rsidR="003517AB" w:rsidRPr="003517AB" w:rsidRDefault="003517A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Lakófunkció koncepcionális tervezése, térhasználatok, funkciók, </w:t>
            </w:r>
            <w:proofErr w:type="spellStart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anyagkocepció</w:t>
            </w:r>
            <w:proofErr w:type="spellEnd"/>
          </w:p>
        </w:tc>
        <w:tc>
          <w:tcPr>
            <w:tcW w:w="3047" w:type="dxa"/>
            <w:vMerge/>
            <w:shd w:val="clear" w:color="auto" w:fill="auto"/>
          </w:tcPr>
          <w:p w14:paraId="0EF54657" w14:textId="77777777" w:rsidR="003517AB" w:rsidRPr="003517AB" w:rsidRDefault="003517A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298345F" w14:textId="424CBB88" w:rsidR="003517AB" w:rsidRPr="003517AB" w:rsidRDefault="003517A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541E0643" w14:textId="77777777" w:rsidR="003517AB" w:rsidRPr="003517AB" w:rsidRDefault="003517A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517AB" w:rsidRPr="003517AB" w14:paraId="2C8D63DF" w14:textId="77777777" w:rsidTr="0033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3517AB" w:rsidRPr="003517AB" w:rsidRDefault="003517AB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9644" w:type="dxa"/>
            <w:gridSpan w:val="4"/>
            <w:shd w:val="clear" w:color="auto" w:fill="auto"/>
          </w:tcPr>
          <w:p w14:paraId="099B7969" w14:textId="39F07913" w:rsidR="003517AB" w:rsidRPr="003517AB" w:rsidRDefault="003517AB" w:rsidP="00351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NEMZETI ÜNNEP</w:t>
            </w:r>
          </w:p>
        </w:tc>
      </w:tr>
      <w:tr w:rsidR="009E3F82" w:rsidRPr="003517AB" w14:paraId="13316A2D" w14:textId="77777777" w:rsidTr="005B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9E3F82" w:rsidRPr="003517AB" w:rsidRDefault="009E3F8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567D5DC6" w:rsidR="009E3F82" w:rsidRPr="003517AB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ciklus lezárása – </w:t>
            </w:r>
            <w:r w:rsidRPr="00B37256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FÉLÉVKÖZI PREZENTÁCIÓ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13A4336" w14:textId="1006B4F5" w:rsidR="009E3F82" w:rsidRPr="003517AB" w:rsidRDefault="009E3F8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Az óra keretein belül tankörön belüli tervbemutatás. A BELSŐÉPÍTÉSZETI KONCEPCIÓTERV BEMUTATÁSA</w:t>
            </w:r>
          </w:p>
        </w:tc>
      </w:tr>
      <w:tr w:rsidR="003517AB" w:rsidRPr="003517AB" w14:paraId="2E51C4F6" w14:textId="77777777" w:rsidTr="00351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3517AB" w:rsidRPr="003517AB" w:rsidRDefault="003517AB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9644" w:type="dxa"/>
            <w:gridSpan w:val="4"/>
            <w:shd w:val="clear" w:color="auto" w:fill="auto"/>
            <w:vAlign w:val="center"/>
          </w:tcPr>
          <w:p w14:paraId="0B7F50F7" w14:textId="186CD05D" w:rsidR="003517AB" w:rsidRPr="003517AB" w:rsidRDefault="003517AB" w:rsidP="00351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TAVASZI SZÜNET</w:t>
            </w:r>
          </w:p>
        </w:tc>
      </w:tr>
      <w:tr w:rsidR="003517AB" w:rsidRPr="003517AB" w14:paraId="23C59A9C" w14:textId="77777777" w:rsidTr="009E3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BE1F835" w14:textId="16110BCD" w:rsidR="003517AB" w:rsidRPr="003517AB" w:rsidRDefault="003517AB" w:rsidP="003517A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66FBEA0F" w14:textId="1C98C3A2" w:rsidR="003517AB" w:rsidRPr="003517AB" w:rsidRDefault="003517AB" w:rsidP="00351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Konzultáció, tervkidolgozás</w:t>
            </w:r>
          </w:p>
        </w:tc>
        <w:tc>
          <w:tcPr>
            <w:tcW w:w="3047" w:type="dxa"/>
            <w:vMerge w:val="restart"/>
            <w:shd w:val="clear" w:color="auto" w:fill="auto"/>
          </w:tcPr>
          <w:p w14:paraId="3489F32A" w14:textId="77777777" w:rsidR="003517AB" w:rsidRPr="003517AB" w:rsidRDefault="003517AB" w:rsidP="00351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Barcz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Csanák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, Fülöp, Hegyi, Kalló, Kondor, Magyari, Nagy, Szentirmai, Szilágyi, Takács, Tatár, Térformálás tárgyformálás 1-3. Budapest 2007. Terc</w:t>
            </w:r>
          </w:p>
          <w:p w14:paraId="2B4267C1" w14:textId="77777777" w:rsidR="003517AB" w:rsidRPr="003517AB" w:rsidRDefault="003517AB" w:rsidP="00351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Timothy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Samara, A grafikai tervezés kézikönyve – Elemek, összefüggések és szabályok. Budapest 2015. </w:t>
            </w: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Scolar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</w:p>
          <w:p w14:paraId="2D931442" w14:textId="77777777" w:rsidR="003517AB" w:rsidRPr="003517AB" w:rsidRDefault="003517AB" w:rsidP="00351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Alice </w:t>
            </w: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Twemlow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: Mire jó a grafikai </w:t>
            </w:r>
            <w:proofErr w:type="gram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tervezés?.</w:t>
            </w:r>
            <w:proofErr w:type="gram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Budapest 2008. </w:t>
            </w: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Scolar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</w:p>
          <w:p w14:paraId="694F355C" w14:textId="4490559B" w:rsidR="003517AB" w:rsidRPr="00B37256" w:rsidRDefault="003517AB" w:rsidP="00351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folyóiratok: Új Magyar Építőművészet; Átrium, Oktogon, Alaprajz., Metszet</w:t>
            </w:r>
            <w:r w:rsidR="00B37256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Divisare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Archdaily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Dezeen</w:t>
            </w:r>
            <w:proofErr w:type="spellEnd"/>
            <w:r w:rsidRPr="003517AB">
              <w:rPr>
                <w:rFonts w:ascii="Times New Roman" w:hAnsi="Times New Roman"/>
                <w:sz w:val="18"/>
                <w:szCs w:val="18"/>
                <w:lang w:val="hu-HU"/>
              </w:rPr>
              <w:t>, Domusweb, designboom</w:t>
            </w:r>
          </w:p>
        </w:tc>
        <w:tc>
          <w:tcPr>
            <w:tcW w:w="1559" w:type="dxa"/>
            <w:shd w:val="clear" w:color="auto" w:fill="auto"/>
          </w:tcPr>
          <w:p w14:paraId="1EBF0A8D" w14:textId="292CF700" w:rsidR="003517AB" w:rsidRPr="003517AB" w:rsidRDefault="00B37256" w:rsidP="00351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22048DEE" w14:textId="77777777" w:rsidR="003517AB" w:rsidRPr="003517AB" w:rsidRDefault="003517AB" w:rsidP="00351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517AB" w:rsidRPr="003517AB" w14:paraId="1415669F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3517AB" w:rsidRPr="003517AB" w:rsidRDefault="003517AB" w:rsidP="003517A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7F0DF09D" w:rsidR="003517AB" w:rsidRPr="003517AB" w:rsidRDefault="003517AB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Konzultáció, tervkidolgozás</w:t>
            </w:r>
          </w:p>
        </w:tc>
        <w:tc>
          <w:tcPr>
            <w:tcW w:w="3047" w:type="dxa"/>
            <w:vMerge/>
            <w:shd w:val="clear" w:color="auto" w:fill="auto"/>
          </w:tcPr>
          <w:p w14:paraId="713CD288" w14:textId="77777777" w:rsidR="003517AB" w:rsidRPr="003517AB" w:rsidRDefault="003517AB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5658D30" w14:textId="02A13A71" w:rsidR="003517AB" w:rsidRPr="003517AB" w:rsidRDefault="00B37256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63E645EC" w14:textId="77777777" w:rsidR="003517AB" w:rsidRPr="003517AB" w:rsidRDefault="003517AB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517AB" w:rsidRPr="003517AB" w14:paraId="10BE8C8B" w14:textId="77777777" w:rsidTr="00351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3517AB" w:rsidRPr="003517AB" w:rsidRDefault="003517AB" w:rsidP="003517A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9644" w:type="dxa"/>
            <w:gridSpan w:val="4"/>
            <w:shd w:val="clear" w:color="auto" w:fill="auto"/>
            <w:vAlign w:val="center"/>
          </w:tcPr>
          <w:p w14:paraId="375787B2" w14:textId="0937D18B" w:rsidR="003517AB" w:rsidRDefault="003517AB" w:rsidP="00351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POLLACK EXPO</w:t>
            </w:r>
          </w:p>
          <w:p w14:paraId="2574E694" w14:textId="33FD7CF9" w:rsidR="003517AB" w:rsidRPr="003517AB" w:rsidRDefault="003517AB" w:rsidP="00351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91349">
              <w:rPr>
                <w:rFonts w:ascii="Times New Roman" w:hAnsi="Times New Roman"/>
                <w:sz w:val="18"/>
                <w:szCs w:val="18"/>
                <w:lang w:val="hu-HU"/>
              </w:rPr>
              <w:t>kötelező részvétel, 2 kreditpont szerezhető!</w:t>
            </w:r>
          </w:p>
        </w:tc>
      </w:tr>
      <w:tr w:rsidR="003517AB" w:rsidRPr="003517AB" w14:paraId="38B5C1B2" w14:textId="77777777" w:rsidTr="009E3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3517AB" w:rsidRPr="003517AB" w:rsidRDefault="003517AB" w:rsidP="003517A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0369EC06" w:rsidR="003517AB" w:rsidRPr="003517AB" w:rsidRDefault="003517AB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Konzultáció, tervkidolgozás</w:t>
            </w:r>
          </w:p>
        </w:tc>
        <w:tc>
          <w:tcPr>
            <w:tcW w:w="3047" w:type="dxa"/>
            <w:vMerge w:val="restart"/>
            <w:shd w:val="clear" w:color="auto" w:fill="auto"/>
          </w:tcPr>
          <w:p w14:paraId="4086284B" w14:textId="77777777" w:rsidR="003517AB" w:rsidRPr="003517AB" w:rsidRDefault="003517AB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Barcz</w:t>
            </w:r>
            <w:proofErr w:type="spellEnd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Csanák</w:t>
            </w:r>
            <w:proofErr w:type="spellEnd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, Fülöp, Hegyi, Kalló, Kondor, Magyari, Nagy, Szentirmai, Szilágyi, Takács, Tatár, Térformálás tárgyformálás 1-3. Budapest 2007. Terc</w:t>
            </w:r>
          </w:p>
          <w:p w14:paraId="75C4AB72" w14:textId="77777777" w:rsidR="003517AB" w:rsidRPr="003517AB" w:rsidRDefault="003517AB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Timothy</w:t>
            </w:r>
            <w:proofErr w:type="spellEnd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Samara, A grafikai tervezés kézikönyve – Elemek, összefüggések és szabályok. Budapest 2015. </w:t>
            </w:r>
            <w:proofErr w:type="spellStart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Scolar</w:t>
            </w:r>
            <w:proofErr w:type="spellEnd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12765719" w14:textId="26524A67" w:rsidR="003517AB" w:rsidRPr="003517AB" w:rsidRDefault="003517AB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Alice </w:t>
            </w:r>
            <w:proofErr w:type="spellStart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Twemlow</w:t>
            </w:r>
            <w:proofErr w:type="spellEnd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: Mire jó a grafikai </w:t>
            </w:r>
            <w:proofErr w:type="gramStart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tervezés?.</w:t>
            </w:r>
            <w:proofErr w:type="gramEnd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Budapest 2008. </w:t>
            </w:r>
            <w:proofErr w:type="spellStart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Scolar</w:t>
            </w:r>
            <w:proofErr w:type="spellEnd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folyóiratok: Új Magyar Építőművészet; Átrium, Oktogon, Alaprajz., Metszet</w:t>
            </w:r>
            <w:r w:rsidR="00B3725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Divisare</w:t>
            </w:r>
            <w:proofErr w:type="spellEnd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Archdaily</w:t>
            </w:r>
            <w:proofErr w:type="spellEnd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Dezeen</w:t>
            </w:r>
            <w:proofErr w:type="spellEnd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, Domusweb, designboom</w:t>
            </w:r>
          </w:p>
        </w:tc>
        <w:tc>
          <w:tcPr>
            <w:tcW w:w="1559" w:type="dxa"/>
            <w:shd w:val="clear" w:color="auto" w:fill="auto"/>
          </w:tcPr>
          <w:p w14:paraId="60F80397" w14:textId="10D86A86" w:rsidR="003517AB" w:rsidRPr="003517AB" w:rsidRDefault="003517AB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25AEA9D3" w14:textId="77777777" w:rsidR="003517AB" w:rsidRPr="003517AB" w:rsidRDefault="003517AB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517AB" w:rsidRPr="003517AB" w14:paraId="14EF9040" w14:textId="77777777" w:rsidTr="00351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3517AB" w:rsidRPr="003517AB" w:rsidRDefault="003517AB" w:rsidP="003517A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389214EB" w:rsidR="003517AB" w:rsidRPr="003517AB" w:rsidRDefault="003517AB" w:rsidP="003517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Konzultáció, tervkidolgozás. UTOLSÓ KONZULTÁCIÓ. TERVEK VÉGLEGESÍTÉSE</w:t>
            </w:r>
          </w:p>
        </w:tc>
        <w:tc>
          <w:tcPr>
            <w:tcW w:w="3047" w:type="dxa"/>
            <w:vMerge/>
            <w:shd w:val="clear" w:color="auto" w:fill="auto"/>
          </w:tcPr>
          <w:p w14:paraId="3606C3D6" w14:textId="77777777" w:rsidR="003517AB" w:rsidRPr="003517AB" w:rsidRDefault="003517AB" w:rsidP="00351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C93B6AB" w14:textId="12AA2224" w:rsidR="003517AB" w:rsidRPr="003517AB" w:rsidRDefault="003517AB" w:rsidP="00351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Konzultáció, önálló munka</w:t>
            </w:r>
          </w:p>
        </w:tc>
        <w:tc>
          <w:tcPr>
            <w:tcW w:w="1206" w:type="dxa"/>
            <w:shd w:val="clear" w:color="auto" w:fill="auto"/>
          </w:tcPr>
          <w:p w14:paraId="09D3945E" w14:textId="77777777" w:rsidR="003517AB" w:rsidRPr="003517AB" w:rsidRDefault="003517AB" w:rsidP="00351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517AB" w:rsidRPr="003517AB" w14:paraId="30868C2B" w14:textId="77777777" w:rsidTr="0068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3517AB" w:rsidRPr="003517AB" w:rsidRDefault="003517AB" w:rsidP="003517A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29EE270B" w:rsidR="003517AB" w:rsidRPr="003517AB" w:rsidRDefault="003517AB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ciklus lezárása – </w:t>
            </w:r>
            <w:r w:rsidRPr="00B37256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VÉGLEGES BELSŐÉPITÉSZETI TERV PREZENTÁCIÓ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2FB0F2F" w14:textId="77777777" w:rsidR="003517AB" w:rsidRPr="003517AB" w:rsidRDefault="003517AB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Az óra keretein belüli tervbemutatás. A BELSŐÉPÍTÉSZETITERV BEMUTATÁSA MAKETTEL.</w:t>
            </w:r>
          </w:p>
          <w:p w14:paraId="73E197B9" w14:textId="348252E5" w:rsidR="003517AB" w:rsidRPr="003517AB" w:rsidRDefault="003517AB" w:rsidP="0035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Ez az aláírás megszerzésének, illetve a félévközi jegy megszerzésének határideje.</w:t>
            </w:r>
          </w:p>
        </w:tc>
      </w:tr>
      <w:tr w:rsidR="003517AB" w:rsidRPr="003517AB" w14:paraId="3CB4D2DF" w14:textId="77777777" w:rsidTr="00001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AB27A53" w14:textId="424CC596" w:rsidR="003517AB" w:rsidRPr="003517AB" w:rsidRDefault="003517AB" w:rsidP="003517A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15</w:t>
            </w: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4C0B9373" w14:textId="68F45C4D" w:rsidR="003517AB" w:rsidRPr="003517AB" w:rsidRDefault="003517AB" w:rsidP="00351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Póltás</w:t>
            </w:r>
            <w:proofErr w:type="spellEnd"/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javítás 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6A40085" w14:textId="67E6F725" w:rsidR="003517AB" w:rsidRPr="003517AB" w:rsidRDefault="003517AB" w:rsidP="00351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17AB">
              <w:rPr>
                <w:rFonts w:ascii="Times New Roman" w:hAnsi="Times New Roman"/>
                <w:sz w:val="20"/>
                <w:szCs w:val="20"/>
                <w:lang w:val="hu-HU"/>
              </w:rPr>
              <w:t>Az aláírás és/vagy a félévközi jegy megszerzésének végső határideje, a tervek és makett javítási/pótlási határideje.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C3DF68" w14:textId="77777777" w:rsidR="00B37256" w:rsidRDefault="00B3725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F74DC91" w14:textId="77777777" w:rsidR="00B37256" w:rsidRDefault="00B3725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89559F0" w14:textId="77777777" w:rsidR="00B37256" w:rsidRDefault="00B3725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5A19FDC" w14:textId="77777777" w:rsidR="00B37256" w:rsidRDefault="00B3725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A62FA8A" w14:textId="77777777" w:rsidR="00B37256" w:rsidRPr="00A601E6" w:rsidRDefault="00B37256" w:rsidP="00B37256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76D6B1F8" w14:textId="373ADE6C" w:rsidR="00761C39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6873B18B" w14:textId="17381730" w:rsidR="000B7599" w:rsidRPr="00A601E6" w:rsidRDefault="000B759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Dr. Rácz Tamás</w:t>
      </w:r>
    </w:p>
    <w:p w14:paraId="25767BCB" w14:textId="0937A829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sectPr w:rsidR="00761C39" w:rsidRPr="00A601E6" w:rsidSect="007316F0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01BD" w14:textId="77777777" w:rsidR="007316F0" w:rsidRDefault="007316F0" w:rsidP="007E74BB">
      <w:r>
        <w:separator/>
      </w:r>
    </w:p>
  </w:endnote>
  <w:endnote w:type="continuationSeparator" w:id="0">
    <w:p w14:paraId="1A150EB0" w14:textId="77777777" w:rsidR="007316F0" w:rsidRDefault="007316F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80FF8">
      <w:rPr>
        <w:color w:val="auto"/>
        <w:sz w:val="16"/>
        <w:szCs w:val="16"/>
      </w:rPr>
      <w:t>Pécsi Tudományegyetem</w:t>
    </w:r>
    <w:r w:rsidRPr="00780FF8">
      <w:rPr>
        <w:b/>
        <w:color w:val="auto"/>
        <w:sz w:val="16"/>
        <w:szCs w:val="16"/>
      </w:rPr>
      <w:t xml:space="preserve"> </w:t>
    </w:r>
    <w:r w:rsidRPr="00780FF8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80FF8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80FF8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80FF8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6C77" w14:textId="77777777" w:rsidR="007316F0" w:rsidRDefault="007316F0" w:rsidP="007E74BB">
      <w:r>
        <w:separator/>
      </w:r>
    </w:p>
  </w:footnote>
  <w:footnote w:type="continuationSeparator" w:id="0">
    <w:p w14:paraId="71454CDA" w14:textId="77777777" w:rsidR="007316F0" w:rsidRDefault="007316F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463F5A0A" w:rsidR="00321A04" w:rsidRPr="001D18BD" w:rsidRDefault="00321902" w:rsidP="00034EEB">
    <w:pPr>
      <w:pStyle w:val="TEMATIKAFEJLC-LBLC"/>
      <w:rPr>
        <w:color w:val="auto"/>
        <w:lang w:val="hu-HU"/>
      </w:rPr>
    </w:pPr>
    <w:r w:rsidRPr="001D18BD">
      <w:rPr>
        <w:color w:val="auto"/>
        <w:lang w:val="hu-HU"/>
      </w:rPr>
      <w:t>Szak(ok) neve</w:t>
    </w:r>
    <w:r w:rsidR="00780FF8" w:rsidRPr="001D18BD">
      <w:rPr>
        <w:color w:val="auto"/>
        <w:lang w:val="hu-HU"/>
      </w:rPr>
      <w:t xml:space="preserve"> Építőművészet </w:t>
    </w:r>
    <w:proofErr w:type="spellStart"/>
    <w:r w:rsidR="00780FF8" w:rsidRPr="001D18BD">
      <w:rPr>
        <w:color w:val="auto"/>
        <w:lang w:val="hu-HU"/>
      </w:rPr>
      <w:t>Ba</w:t>
    </w:r>
    <w:proofErr w:type="spellEnd"/>
  </w:p>
  <w:p w14:paraId="53370EA0" w14:textId="608C8C5C" w:rsidR="00321A04" w:rsidRPr="001D18BD" w:rsidRDefault="00321902" w:rsidP="00034EEB">
    <w:pPr>
      <w:pStyle w:val="TEMATIKAFEJLC-LBLC"/>
      <w:rPr>
        <w:color w:val="auto"/>
        <w:lang w:val="hu-HU"/>
      </w:rPr>
    </w:pPr>
    <w:r w:rsidRPr="001D18BD">
      <w:rPr>
        <w:color w:val="auto"/>
        <w:lang w:val="hu-HU"/>
      </w:rPr>
      <w:t>Tantárgy neve:</w:t>
    </w:r>
    <w:r w:rsidR="001D18BD" w:rsidRPr="001D18BD">
      <w:rPr>
        <w:color w:val="auto"/>
        <w:lang w:val="hu-HU"/>
      </w:rPr>
      <w:t xml:space="preserve"> Belsőépítészet 1</w:t>
    </w:r>
    <w:r w:rsidR="00321A04" w:rsidRPr="001D18BD">
      <w:rPr>
        <w:color w:val="auto"/>
        <w:lang w:val="hu-HU"/>
      </w:rPr>
      <w:tab/>
    </w:r>
    <w:r w:rsidR="00321A04" w:rsidRPr="001D18BD">
      <w:rPr>
        <w:color w:val="auto"/>
        <w:lang w:val="hu-HU"/>
      </w:rPr>
      <w:tab/>
      <w:t>tantárgyi tematika</w:t>
    </w:r>
  </w:p>
  <w:p w14:paraId="2ECE5AA3" w14:textId="08327B1E" w:rsidR="00321A04" w:rsidRPr="001D18BD" w:rsidRDefault="00321A04" w:rsidP="00B043F4">
    <w:pPr>
      <w:pStyle w:val="TEMATIKAFEJLC-LBLC"/>
      <w:tabs>
        <w:tab w:val="clear" w:pos="4536"/>
        <w:tab w:val="clear" w:pos="9044"/>
        <w:tab w:val="center" w:pos="3828"/>
        <w:tab w:val="right" w:pos="9064"/>
      </w:tabs>
      <w:rPr>
        <w:color w:val="auto"/>
        <w:lang w:val="hu-HU"/>
      </w:rPr>
    </w:pPr>
    <w:r w:rsidRPr="001D18BD">
      <w:rPr>
        <w:color w:val="auto"/>
        <w:lang w:val="hu-HU"/>
      </w:rPr>
      <w:t>tantárgy-kód:</w:t>
    </w:r>
    <w:r w:rsidR="001D18BD" w:rsidRPr="001D18BD">
      <w:rPr>
        <w:color w:val="auto"/>
        <w:lang w:val="hu-HU"/>
      </w:rPr>
      <w:t xml:space="preserve"> EPB024</w:t>
    </w:r>
    <w:r w:rsidRPr="001D18BD">
      <w:rPr>
        <w:color w:val="auto"/>
        <w:lang w:val="hu-HU"/>
      </w:rPr>
      <w:tab/>
    </w:r>
    <w:r w:rsidR="00B043F4">
      <w:rPr>
        <w:color w:val="auto"/>
        <w:lang w:val="hu-HU"/>
      </w:rPr>
      <w:tab/>
    </w:r>
    <w:r w:rsidR="001D18BD" w:rsidRPr="001D18BD">
      <w:rPr>
        <w:color w:val="auto"/>
        <w:lang w:val="hu-HU"/>
      </w:rPr>
      <w:t>gyakorlat</w:t>
    </w:r>
    <w:r w:rsidRPr="001D18BD">
      <w:rPr>
        <w:color w:val="auto"/>
        <w:lang w:val="hu-HU"/>
      </w:rPr>
      <w:t>:</w:t>
    </w:r>
    <w:r w:rsidR="00490902" w:rsidRPr="001D18BD">
      <w:rPr>
        <w:color w:val="auto"/>
        <w:lang w:val="hu-HU"/>
      </w:rPr>
      <w:t xml:space="preserve"> </w:t>
    </w:r>
    <w:r w:rsidR="001D18BD" w:rsidRPr="001D18BD">
      <w:rPr>
        <w:color w:val="auto"/>
        <w:lang w:val="hu-HU"/>
      </w:rPr>
      <w:t>minden héten péntek 11.15-14.45</w:t>
    </w:r>
    <w:r w:rsidR="00B043F4">
      <w:rPr>
        <w:color w:val="auto"/>
        <w:lang w:val="hu-HU"/>
      </w:rPr>
      <w:t>, 14:00-17:30</w:t>
    </w:r>
    <w:r w:rsidR="001D18BD" w:rsidRPr="001D18BD">
      <w:rPr>
        <w:color w:val="auto"/>
        <w:lang w:val="hu-HU"/>
      </w:rPr>
      <w:t xml:space="preserve"> </w:t>
    </w:r>
    <w:r w:rsidRPr="001D18BD">
      <w:rPr>
        <w:color w:val="auto"/>
        <w:lang w:val="hu-HU"/>
      </w:rPr>
      <w:t xml:space="preserve">Helyszín: </w:t>
    </w:r>
    <w:r w:rsidR="001D18BD" w:rsidRPr="001D18BD">
      <w:rPr>
        <w:color w:val="auto"/>
        <w:lang w:val="hu-HU"/>
      </w:rPr>
      <w:t>A007</w:t>
    </w:r>
    <w:r w:rsidR="00B043F4">
      <w:rPr>
        <w:color w:val="auto"/>
        <w:lang w:val="hu-HU"/>
      </w:rPr>
      <w:t>, É-81</w:t>
    </w:r>
  </w:p>
  <w:p w14:paraId="5FA1F5CD" w14:textId="711C6A12" w:rsidR="00321A04" w:rsidRPr="001D18BD" w:rsidRDefault="00321A04" w:rsidP="00034EEB">
    <w:pPr>
      <w:pStyle w:val="TEMATIKAFEJLC-LBLC"/>
      <w:rPr>
        <w:color w:val="auto"/>
        <w:lang w:val="hu-HU"/>
      </w:rPr>
    </w:pPr>
    <w:r w:rsidRPr="001D18BD">
      <w:rPr>
        <w:color w:val="auto"/>
        <w:lang w:val="hu-HU"/>
      </w:rPr>
      <w:t>Szemeszter: tavasz</w:t>
    </w:r>
    <w:r w:rsidRPr="001D18BD">
      <w:rPr>
        <w:color w:val="auto"/>
        <w:lang w:val="hu-H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719"/>
    <w:multiLevelType w:val="hybridMultilevel"/>
    <w:tmpl w:val="9C6ED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3C3761"/>
    <w:multiLevelType w:val="hybridMultilevel"/>
    <w:tmpl w:val="871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213361"/>
    <w:multiLevelType w:val="hybridMultilevel"/>
    <w:tmpl w:val="A91E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0414F1"/>
    <w:multiLevelType w:val="hybridMultilevel"/>
    <w:tmpl w:val="863401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1"/>
  </w:num>
  <w:num w:numId="2" w16cid:durableId="2053311362">
    <w:abstractNumId w:val="15"/>
  </w:num>
  <w:num w:numId="3" w16cid:durableId="2063477007">
    <w:abstractNumId w:val="19"/>
  </w:num>
  <w:num w:numId="4" w16cid:durableId="841358547">
    <w:abstractNumId w:val="20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6"/>
  </w:num>
  <w:num w:numId="9" w16cid:durableId="189606335">
    <w:abstractNumId w:val="27"/>
  </w:num>
  <w:num w:numId="10" w16cid:durableId="473179155">
    <w:abstractNumId w:val="23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5"/>
  </w:num>
  <w:num w:numId="14" w16cid:durableId="85468623">
    <w:abstractNumId w:val="11"/>
  </w:num>
  <w:num w:numId="15" w16cid:durableId="317613096">
    <w:abstractNumId w:val="28"/>
  </w:num>
  <w:num w:numId="16" w16cid:durableId="516038234">
    <w:abstractNumId w:val="10"/>
  </w:num>
  <w:num w:numId="17" w16cid:durableId="2045985189">
    <w:abstractNumId w:val="26"/>
  </w:num>
  <w:num w:numId="18" w16cid:durableId="170686865">
    <w:abstractNumId w:val="17"/>
  </w:num>
  <w:num w:numId="19" w16cid:durableId="347800045">
    <w:abstractNumId w:val="13"/>
  </w:num>
  <w:num w:numId="20" w16cid:durableId="955142882">
    <w:abstractNumId w:val="9"/>
  </w:num>
  <w:num w:numId="21" w16cid:durableId="1775130785">
    <w:abstractNumId w:val="6"/>
  </w:num>
  <w:num w:numId="22" w16cid:durableId="1118794335">
    <w:abstractNumId w:val="12"/>
  </w:num>
  <w:num w:numId="23" w16cid:durableId="899830645">
    <w:abstractNumId w:val="4"/>
  </w:num>
  <w:num w:numId="24" w16cid:durableId="1889414779">
    <w:abstractNumId w:val="24"/>
  </w:num>
  <w:num w:numId="25" w16cid:durableId="123230439">
    <w:abstractNumId w:val="22"/>
  </w:num>
  <w:num w:numId="26" w16cid:durableId="1524126419">
    <w:abstractNumId w:val="8"/>
  </w:num>
  <w:num w:numId="27" w16cid:durableId="387071231">
    <w:abstractNumId w:val="18"/>
  </w:num>
  <w:num w:numId="28" w16cid:durableId="1696536752">
    <w:abstractNumId w:val="14"/>
  </w:num>
  <w:num w:numId="29" w16cid:durableId="115710742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36A56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B7599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18BD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17AB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2F6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03EF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316F0"/>
    <w:rsid w:val="00742CBB"/>
    <w:rsid w:val="007530C6"/>
    <w:rsid w:val="00754E56"/>
    <w:rsid w:val="00761C39"/>
    <w:rsid w:val="007730A5"/>
    <w:rsid w:val="00775481"/>
    <w:rsid w:val="00775954"/>
    <w:rsid w:val="0077643E"/>
    <w:rsid w:val="00780FF8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33DF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3F82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26B8"/>
    <w:rsid w:val="00A8047B"/>
    <w:rsid w:val="00A9421B"/>
    <w:rsid w:val="00AA30EB"/>
    <w:rsid w:val="00AA7EC0"/>
    <w:rsid w:val="00AB5D6E"/>
    <w:rsid w:val="00AD323F"/>
    <w:rsid w:val="00AD57AB"/>
    <w:rsid w:val="00B043F4"/>
    <w:rsid w:val="00B1305B"/>
    <w:rsid w:val="00B14D53"/>
    <w:rsid w:val="00B274E1"/>
    <w:rsid w:val="00B308E1"/>
    <w:rsid w:val="00B30B28"/>
    <w:rsid w:val="00B37256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54A9D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517AB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3592A-789D-4B4D-BB26-EDDD75A82901}"/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7</Pages>
  <Words>1931</Words>
  <Characters>13603</Characters>
  <Application>Microsoft Office Word</Application>
  <DocSecurity>0</DocSecurity>
  <Lines>443</Lines>
  <Paragraphs>251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90</cp:revision>
  <cp:lastPrinted>2019-01-24T10:00:00Z</cp:lastPrinted>
  <dcterms:created xsi:type="dcterms:W3CDTF">2022-08-28T10:21:00Z</dcterms:created>
  <dcterms:modified xsi:type="dcterms:W3CDTF">2024-01-27T09:17:00Z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1f21113cdb492e8620798c07d1a6f312a42d52f87500c24e9ec3b5c5a35f8888</vt:lpwstr>
  </property>
</Properties>
</file>