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Heading1"/>
        <w:shd w:val="clear" w:color="auto" w:fill="C7C7C7" w:themeFill="accent1" w:themeFillShade="e6"/>
        <w:rPr/>
      </w:pPr>
      <w:r>
        <w:rPr/>
        <w:t xml:space="preserve">Tantárgyi tematika és teljesítési követelmények </w:t>
        <w:br/>
        <w:t>202</w:t>
      </w:r>
      <w:r>
        <w:rPr/>
        <w:t>3</w:t>
      </w:r>
      <w:r>
        <w:rPr/>
        <w:t>/202</w:t>
      </w:r>
      <w:r>
        <w:rPr/>
        <w:t>4</w:t>
      </w:r>
      <w:r>
        <w:rPr/>
        <w:t xml:space="preserve"> II. félév</w:t>
      </w:r>
    </w:p>
    <w:tbl>
      <w:tblPr>
        <w:tblStyle w:val="Tblzatrcsos7tarka1"/>
        <w:tblW w:w="4850" w:type="pct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24"/>
        <w:gridCol w:w="65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"/>
                <w:b/>
                <w:bCs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Villamos Berendezések Üzemvitele 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iCs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 w:val="false"/>
                <w:color w:val="auto"/>
                <w:kern w:val="0"/>
                <w:sz w:val="20"/>
                <w:szCs w:val="20"/>
                <w:lang w:val="hu-HU" w:eastAsia="en-US" w:bidi="ar-SA"/>
              </w:rPr>
              <w:t>IVB456MLVM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Heti óraszám: ea/gy/lab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Cs/>
                <w:i w:val="false"/>
                <w:i w:val="false"/>
                <w:color w:val="auto"/>
              </w:rPr>
            </w:pPr>
            <w:r>
              <w:rPr>
                <w:rFonts w:eastAsia="" w:cs=""/>
                <w:b/>
                <w:bCs/>
                <w:i w:val="false"/>
                <w:iCs w:val="false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3 </w:t>
            </w:r>
            <w:r>
              <w:rPr>
                <w:rFonts w:eastAsia="" w:cs=""/>
                <w:b/>
                <w:bCs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/ 0</w:t>
            </w:r>
            <w:r>
              <w:rPr>
                <w:rFonts w:eastAsia="" w:cs=""/>
                <w:b/>
                <w:bCs/>
                <w:i w:val="false"/>
                <w:iCs w:val="false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 xml:space="preserve"> </w:t>
            </w:r>
            <w:r>
              <w:rPr>
                <w:rFonts w:eastAsia="" w:cs=""/>
                <w:b/>
                <w:bCs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/1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Cs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6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Cs/>
                <w:i w:val="false"/>
                <w:i w:val="false"/>
                <w:iCs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 w:val="false"/>
                <w:color w:val="auto"/>
                <w:kern w:val="0"/>
                <w:sz w:val="20"/>
                <w:szCs w:val="20"/>
                <w:lang w:val="hu-HU" w:eastAsia="en-US" w:bidi="ar-SA"/>
              </w:rPr>
              <w:t>Villamosmérnök BSc / Kötelező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Cs/>
                <w:i w:val="false"/>
                <w:i w:val="false"/>
                <w:iCs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hu-HU" w:eastAsia="en-US" w:bidi="ar-SA"/>
              </w:rPr>
              <w:t>Levelező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Cs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Vizsga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 (6.)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Villamos Hálózatok Tanszék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 xml:space="preserve">Tárgyfelelős 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iCs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 w:val="false"/>
                <w:color w:val="auto"/>
                <w:kern w:val="0"/>
                <w:sz w:val="20"/>
                <w:szCs w:val="20"/>
                <w:lang w:val="hu-HU" w:eastAsia="en-US" w:bidi="ar-SA"/>
              </w:rPr>
              <w:t>Dr. Elmer György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iCs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 w:val="false"/>
                <w:color w:val="auto"/>
                <w:kern w:val="0"/>
                <w:sz w:val="20"/>
                <w:szCs w:val="20"/>
                <w:lang w:val="hu-HU" w:eastAsia="en-US" w:bidi="ar-SA"/>
              </w:rPr>
              <w:t>Dr. Elmer György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val="auto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527" w:type="dxa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val="auto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color="auto" w:fill="DFDFDF" w:themeFill="background2" w:themeFillShade="e6"/>
        <w:rPr/>
      </w:pPr>
      <w:r>
        <w:rPr>
          <w:sz w:val="22"/>
          <w:szCs w:val="22"/>
        </w:rPr>
        <w:t>Fogyasztásmérés, fázisjavítás, mérőváltók. A villamosenergia tárolása, elemek, akkumulátorok, ultrakapacitások, akkumulátortöltők, szünetmentes áramforrások. Segédüzemi és háziüzemi berendezések. Védelmek fajtái, működése, beállításuk, üzemviteli automatikák, feszültségszabályozás. Oszlopkapcsolók, hibahely behatárolása. Villamos hőfejlesztés. Villámvédelem.</w:t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/>
      </w:pPr>
      <w:r>
        <w:rPr/>
        <w:t>Tárgytematika</w:t>
      </w:r>
    </w:p>
    <w:p>
      <w:pPr>
        <w:pStyle w:val="Normal"/>
        <w:rPr/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rPr>
          <w:sz w:val="22"/>
          <w:szCs w:val="22"/>
        </w:rPr>
      </w:pPr>
      <w:r>
        <w:rPr>
          <w:sz w:val="22"/>
          <w:szCs w:val="22"/>
        </w:rPr>
        <w:t>A kurzus során a hallgatók megismerkednek a fogyasztásmérés és fázisjavítás módjaival, a villamosenergia tárolásának lehetőségeivel, a védelmi és üzemviteli automatikák működésével, az oszlopkapcsolókkal és a hibahely-behatárolás menetével, a villamos hőfejlesztés alapeseteivel és a villámvédelemmel, továbbá számítási feladatokkal foglalkoznak a fázisjavítás és a védelembeállítás területén. A hallgatók ezen kívül mérési gyakorlatokon szereznek praktikus ismereteket az egyszerű irányítástechnika egyes területein.</w:t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Tblzategyszer3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850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b w:val="false"/>
                <w:bCs w:val="false"/>
              </w:rPr>
            </w:pPr>
            <w:r>
              <w:rPr>
                <w:rFonts w:eastAsia="" w:cs=""/>
                <w:b w:val="false"/>
                <w:bCs w:val="false"/>
                <w:caps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8505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Előadás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hu-HU" w:eastAsia="en-US" w:bidi="ar-SA"/>
              </w:rPr>
              <w:t>1. témakör: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  <w:t>Fogyasztásmérés, fázisjavítás módjai, számítások a fázisjavítás területén.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hu-HU" w:eastAsia="en-US" w:bidi="ar-SA"/>
              </w:rPr>
              <w:t>2. témakör: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  <w:t>A villamosenergia tárolása, elemek, akkumulátorok, ultrakapacitások, akkumulátortöltők, szünetmentes áramforrások, számítások az energiatárolás területén.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hu-HU" w:eastAsia="en-US" w:bidi="ar-SA"/>
              </w:rPr>
              <w:t>3. témakör: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  <w:t>Segédüzemi és háziüzemi berendezések. Védelmek fajtái, működése, beállításuk, üzemviteli automatikák, feszültségszabályozás.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hu-HU" w:eastAsia="en-US" w:bidi="ar-SA"/>
              </w:rPr>
              <w:t>4. témakör: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  <w:t>Villamos hőfejlesztés, villámvédelem.</w:t>
            </w:r>
          </w:p>
          <w:p>
            <w:pPr>
              <w:pStyle w:val="Normal"/>
              <w:widowControl/>
              <w:spacing w:before="0" w:after="0"/>
              <w:ind w:hanging="425" w:left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  <w:t>__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Labor-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hu-HU" w:eastAsia="en-US" w:bidi="ar-SA"/>
              </w:rPr>
              <w:t>1. témakör: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  <w:t>Villamos balesetek megelőzése, az elsősegélynyújtás alapjai, laboratóriumi szabályzat.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hu-HU" w:eastAsia="en-US" w:bidi="ar-SA"/>
              </w:rPr>
              <w:t>2. témakör: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kern w:val="0"/>
                <w:sz w:val="22"/>
                <w:szCs w:val="22"/>
                <w:lang w:val="hu-HU" w:eastAsia="en-US" w:bidi="ar-SA"/>
              </w:rPr>
              <w:t>Laboratóriumi mérések és az azokhoz kapcsolódó számítások elvégzése, dokumentálása.</w:t>
            </w:r>
          </w:p>
          <w:p>
            <w:pPr>
              <w:pStyle w:val="Normal"/>
              <w:widowControl/>
              <w:spacing w:before="0" w:after="0"/>
              <w:ind w:left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jc w:val="center"/>
        <w:rPr>
          <w:b/>
          <w:bCs/>
          <w:highlight w:val="green"/>
        </w:rPr>
      </w:pPr>
      <w:r>
        <w:rPr>
          <w:b/>
          <w:bCs/>
          <w:highlight w:val="green"/>
        </w:rPr>
      </w:r>
    </w:p>
    <w:p>
      <w:pPr>
        <w:pStyle w:val="Normal"/>
        <w:rPr/>
      </w:pPr>
      <w:r>
        <w:rPr/>
      </w:r>
    </w:p>
    <w:p>
      <w:pPr>
        <w:pStyle w:val="Heading3"/>
        <w:rPr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5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1"/>
        <w:gridCol w:w="3827"/>
        <w:gridCol w:w="1984"/>
        <w:gridCol w:w="1842"/>
        <w:gridCol w:w="19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0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Cs w:val="false"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olor w:themeColor="text1"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ELŐADÁS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rPr>
                <w:rFonts w:cs="Calibri" w:cstheme="minorHAnsi"/>
                <w:b/>
                <w:bCs/>
                <w:caps/>
              </w:rPr>
            </w:pPr>
            <w:r>
              <w:rPr>
                <w:rFonts w:eastAsia="" w:cs="Calibri" w:cstheme="minorHAnsi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Kötelező irodalom hivatkozás, 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Fogyasztásmérés, fázisjavítás módjai, számítások a fázisjavítás területén. Készüléktranszformátorok, feszültségváltók, áramváltók feladata, felépítése, bekötése. A villamosenergia tárolása, elemek, akkumulátorok, ultrakapacitások, akkumulátortöltők, szünetmentes áramforrások.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Dr. Elmer György,</w:t>
            </w:r>
          </w:p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Villamos berendezések üzemvitele, e-jegyzet (jegyzet)</w:t>
            </w:r>
          </w:p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151-193 o.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Vizsga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Segédüzemi és háziüzemi berendezések, a segédüzemi feszültség előállítása. Védelmek feladata, fajtái, tulajdonságai, szelektivitása. Túláramvédelmi és visszakapcsoló automatikák működése, beállításuk.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194-231 o.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Vizsga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Különbözeti védelmek, távolsági védelmek</w:t>
            </w: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. Üzemviteli automatikák. Ívoltótekercs-szabályozó automatika, transzformátor-átkapcsoló automatika, feszültségszabályozás.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232-251 o.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Vizsga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Oszlopkapcsolók, hibahely behatárolása. Villamos hőfejlesztés. Oszlopkapcsolók, hibahely behatárolása. Villamos hőfejlesztés.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252-272 o.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Vizsga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Külső és belső villámvédelem megvalósítása.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273-294 o.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Vizsga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Style w:val="Tblzatrcsos7tarka1"/>
        <w:tblW w:w="10348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3832"/>
        <w:gridCol w:w="1986"/>
        <w:gridCol w:w="1842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themeColor="text1"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Villamos balesetek megelőzése, az elsősegélynyújtás alapjai, laboratóriumi szabályzat.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1-14 o.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Részvételi lap aláírása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Első alkalom.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Mérési gyakorlat: Fogyasztásmérés, fázisjavítás. Mérés.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Jegyzet, 162-168 o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Vizsga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Mérési gyakorlat: Fogyasztásmérés, fázisjavítás. Számítás.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Vizsga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Mérési gyakorlat: Lépcsőházi automatikák.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Vizsga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Mérési gyakorlat: Motorindítás.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Calibri" w:cstheme="minorHAnsi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Jegyzet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Vizsga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ind w:left="709"/>
        <w:rPr>
          <w:sz w:val="22"/>
          <w:szCs w:val="22"/>
        </w:rPr>
      </w:pPr>
      <w:r>
        <w:rPr>
          <w:sz w:val="22"/>
          <w:szCs w:val="22"/>
        </w:rPr>
        <w:t>A félév sikeres befejezésének feltétele az aktív órai jelenlét, a zárthelyi dolgozatok megfelelő teljesítése, a mérési gyakorlatok megfelelő elvégzése és a vizsga elégséges letétele.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Jelenléti ív.</w:t>
      </w:r>
    </w:p>
    <w:p>
      <w:pPr>
        <w:pStyle w:val="Normal"/>
        <w:rPr/>
      </w:pPr>
      <w:r>
        <w:rPr/>
      </w:r>
    </w:p>
    <w:p>
      <w:pPr>
        <w:pStyle w:val="Heading5"/>
        <w:keepNext w:val="true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Számonkérések </w:t>
      </w:r>
    </w:p>
    <w:p>
      <w:pPr>
        <w:pStyle w:val="Normal"/>
        <w:keepNext w:val="true"/>
        <w:ind w:left="708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IntenseQuote"/>
        <w:ind w:hanging="1440" w:left="1440" w:right="1440"/>
        <w:rPr>
          <w:sz w:val="22"/>
          <w:szCs w:val="22"/>
        </w:rPr>
      </w:pPr>
      <w:r>
        <w:rPr>
          <w:sz w:val="22"/>
          <w:szCs w:val="22"/>
        </w:rPr>
        <w:t xml:space="preserve">Vizsgával záruló tantárgy </w:t>
      </w:r>
    </w:p>
    <w:p>
      <w:pPr>
        <w:pStyle w:val="Normal"/>
        <w:ind w:hanging="851" w:left="1559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  <w:i/>
          <w:i/>
          <w:iCs/>
        </w:rPr>
      </w:pPr>
      <w:r>
        <w:rPr>
          <w:rStyle w:val="SubtleEmphasis"/>
          <w:b/>
          <w:bCs/>
        </w:rPr>
        <w:t>Az aláírás megszerzésének feltétele</w:t>
      </w:r>
      <w:r>
        <w:rPr>
          <w:b/>
          <w:bCs/>
          <w:i/>
          <w:iCs/>
        </w:rPr>
        <w:t xml:space="preserve"> </w:t>
      </w:r>
    </w:p>
    <w:p>
      <w:pPr>
        <w:pStyle w:val="Normal"/>
        <w:shd w:val="clear" w:color="auto" w:fill="DFDFDF" w:themeFill="background2" w:themeFillShade="e6"/>
        <w:rPr/>
      </w:pPr>
      <w:r>
        <w:rPr/>
        <w:t>A zárthelyi dolgozatok és a laboratóriumi gyakorlatok sikeres (min. 40%-os) teljesítése.</w:t>
      </w:r>
    </w:p>
    <w:p>
      <w:pPr>
        <w:pStyle w:val="Normal"/>
        <w:ind w:left="426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Style w:val="SubtleEmphasis"/>
          <w:b/>
          <w:bCs/>
        </w:rPr>
        <w:t>Pótlási lehetőségek az aláírás megszerzéséhez</w:t>
      </w:r>
      <w:r>
        <w:rPr>
          <w:b/>
          <w:bCs/>
        </w:rPr>
        <w:t xml:space="preserve"> </w:t>
      </w:r>
      <w:r>
        <w:rPr>
          <w:sz w:val="16"/>
          <w:szCs w:val="16"/>
        </w:rPr>
        <w:t>(PTE TVSz 50§(2))</w:t>
      </w:r>
    </w:p>
    <w:p>
      <w:pPr>
        <w:pStyle w:val="Normal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>
      <w:pPr>
        <w:pStyle w:val="Normal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>
      <w:pPr>
        <w:pStyle w:val="Normal"/>
        <w:shd w:val="clear" w:color="auto" w:fill="DFDFDF" w:themeFill="background2" w:themeFillShade="e6"/>
        <w:rPr/>
      </w:pPr>
      <w:r>
        <w:rPr/>
        <w:t>Pótlás a 15. héten.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708"/>
        <w:rPr/>
      </w:pPr>
      <w:r>
        <w:rPr/>
      </w:r>
    </w:p>
    <w:p>
      <w:pPr>
        <w:pStyle w:val="Normal"/>
        <w:rPr>
          <w:i/>
          <w:i/>
          <w:iCs/>
          <w:shd w:fill="FFFF00" w:val="clear"/>
        </w:rPr>
      </w:pPr>
      <w:r>
        <w:rPr>
          <w:b/>
          <w:bCs/>
          <w:i/>
          <w:iCs/>
        </w:rPr>
        <w:t>Vizsga típusa</w:t>
      </w:r>
      <w:r>
        <w:rPr>
          <w:i/>
          <w:iCs/>
        </w:rPr>
        <w:t xml:space="preserve"> írásbeli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vizsga minimum  </w:t>
      </w:r>
      <w:r>
        <w:rPr>
          <w:b/>
          <w:bCs/>
          <w:i/>
          <w:iCs/>
          <w:shd w:fill="DFDFDF" w:val="clear"/>
        </w:rPr>
        <w:t xml:space="preserve"> 40     </w:t>
      </w:r>
      <w:r>
        <w:rPr>
          <w:b/>
          <w:bCs/>
          <w:i/>
          <w:iCs/>
        </w:rPr>
        <w:t xml:space="preserve">%-os teljesítés esetén sikeres. </w:t>
      </w:r>
    </w:p>
    <w:p>
      <w:pPr>
        <w:pStyle w:val="Normal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ind w:hanging="851" w:left="851"/>
        <w:rPr>
          <w:rStyle w:val="SubtleEmphasis"/>
          <w:b/>
          <w:bCs/>
        </w:rPr>
      </w:pPr>
      <w:r>
        <w:rPr>
          <w:rStyle w:val="SubtleEmphasis"/>
          <w:b/>
          <w:bCs/>
        </w:rPr>
        <w:t xml:space="preserve">Az érdemjegy kialakítása </w:t>
      </w:r>
      <w:r>
        <w:rPr>
          <w:rStyle w:val="SubtleEmphasis"/>
          <w:sz w:val="16"/>
          <w:szCs w:val="16"/>
        </w:rPr>
        <w:t>(TVSz 47§ (3))</w:t>
      </w:r>
    </w:p>
    <w:p>
      <w:pPr>
        <w:pStyle w:val="Normal"/>
        <w:ind w:left="708"/>
        <w:rPr/>
      </w:pPr>
      <w:r>
        <w:rPr>
          <w:b/>
          <w:bCs/>
          <w:i/>
          <w:iCs/>
          <w:shd w:fill="DFDFDF" w:val="clear"/>
        </w:rPr>
        <w:t xml:space="preserve">   </w:t>
      </w:r>
      <w:r>
        <w:rPr>
          <w:b/>
          <w:bCs/>
          <w:i/>
          <w:iCs/>
          <w:shd w:fill="DFDFDF" w:val="clear"/>
        </w:rPr>
        <w:t xml:space="preserve">50      </w:t>
      </w:r>
      <w:r>
        <w:rPr>
          <w:shd w:fill="DFDFDF" w:val="clear"/>
        </w:rPr>
        <w:t xml:space="preserve"> </w:t>
      </w:r>
      <w:r>
        <w:rPr/>
        <w:t xml:space="preserve">%-ban az évközi teljesítmény, </w:t>
      </w:r>
      <w:r>
        <w:rPr>
          <w:b/>
          <w:bCs/>
          <w:i/>
          <w:iCs/>
          <w:shd w:fill="DFDFDF" w:val="clear"/>
        </w:rPr>
        <w:t xml:space="preserve">  50       </w:t>
      </w:r>
      <w:r>
        <w:rPr/>
        <w:t xml:space="preserve"> %-ban a vizsgán nyújtott teljesítmény alapján történik.</w:t>
      </w:r>
    </w:p>
    <w:p>
      <w:pPr>
        <w:pStyle w:val="Normal"/>
        <w:ind w:hanging="851" w:left="1559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Normal"/>
        <w:ind w:hanging="851" w:left="851"/>
        <w:rPr>
          <w:rStyle w:val="SubtleEmphasis"/>
          <w:b/>
          <w:bCs/>
        </w:rPr>
      </w:pPr>
      <w:r>
        <w:rPr>
          <w:rStyle w:val="SubtleEmphasis"/>
          <w:b/>
          <w:bCs/>
        </w:rPr>
        <w:t>Az érdemjegy megállapítása az összesített teljesítmény alapján %-os bontásban</w:t>
      </w:r>
    </w:p>
    <w:p>
      <w:pPr>
        <w:pStyle w:val="Normal"/>
        <w:ind w:hanging="851" w:left="851"/>
        <w:rPr>
          <w:rStyle w:val="SubtleEmphasis"/>
          <w:b/>
          <w:bCs/>
        </w:rPr>
      </w:pPr>
      <w:r>
        <w:rPr>
          <w:b/>
          <w:bCs/>
        </w:rPr>
      </w:r>
    </w:p>
    <w:tbl>
      <w:tblPr>
        <w:tblStyle w:val="Tblzatrcsosvilgos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70 %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55 %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... 55 %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alatt</w:t>
            </w:r>
          </w:p>
        </w:tc>
      </w:tr>
    </w:tbl>
    <w:p>
      <w:pPr>
        <w:pStyle w:val="Normal"/>
        <w:ind w:hanging="851" w:left="1559"/>
        <w:rPr/>
      </w:pPr>
      <w:r>
        <w:rPr/>
        <w:t>Az egyes érdemjegyeknél megadott alsó határérték már az adott érdemjegyhez tartozik.</w:t>
      </w:r>
    </w:p>
    <w:p>
      <w:pPr>
        <w:pStyle w:val="Normal"/>
        <w:ind w:left="851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hanging="851" w:left="1559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Kötelező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Legfontosabb kötelező irodalom és elérhetősége:</w:t>
      </w:r>
    </w:p>
    <w:p>
      <w:pPr>
        <w:pStyle w:val="Normal"/>
        <w:rPr/>
      </w:pPr>
      <w:r>
        <w:rPr>
          <w:rFonts w:cs="Calibri" w:cstheme="minorHAnsi"/>
        </w:rPr>
        <w:t xml:space="preserve">[1.] </w:t>
      </w:r>
      <w:r>
        <w:rPr/>
        <w:t>Dr. Elmer György, Villamos berendezések üzemvitele, elektronikus jegyzet.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contextualSpacing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Ajánlott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[3.] 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[4.] 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[5.] ……</w:t>
      </w:r>
    </w:p>
    <w:p>
      <w:pPr>
        <w:pStyle w:val="Normal"/>
        <w:spacing w:before="200" w:after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788727360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themeColor="accent6" w:themeShade="bf" w:val="393939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themeColor="accent6" w:val="4D4D4D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themeColor="accent6" w:val="4D4D4D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themeColor="accent6" w:themeShade="bf" w:val="393939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themeColor="accent6" w:themeShade="80" w:val="2626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bjegyzet-karakterek">
    <w:name w:val="Lábjegyzet-karakterek"/>
    <w:semiHidden/>
    <w:qFormat/>
    <w:rsid w:val="00ad4bc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msor2Char" w:customStyle="1">
    <w:name w:val="Címsor 2 Char"/>
    <w:basedOn w:val="DefaultParagraphFont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uiPriority w:val="99"/>
    <w:qFormat/>
    <w:rsid w:val="005f7e4b"/>
    <w:rPr/>
  </w:style>
  <w:style w:type="character" w:styleId="LlbChar" w:customStyle="1">
    <w:name w:val="Élőláb Char"/>
    <w:basedOn w:val="DefaultParagraphFont"/>
    <w:uiPriority w:val="99"/>
    <w:qFormat/>
    <w:rsid w:val="005f7e4b"/>
    <w:rPr/>
  </w:style>
  <w:style w:type="character" w:styleId="Cmsor4Char" w:customStyle="1">
    <w:name w:val="Címsor 4 Char"/>
    <w:basedOn w:val="DefaultParagraphFont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uiPriority w:val="9"/>
    <w:qFormat/>
    <w:rsid w:val="00ce73e0"/>
    <w:rPr>
      <w:smallCaps/>
      <w:color w:themeColor="accent6" w:themeShade="bf" w:val="393939"/>
      <w:spacing w:val="10"/>
      <w:sz w:val="22"/>
      <w:szCs w:val="22"/>
    </w:rPr>
  </w:style>
  <w:style w:type="character" w:styleId="Cmsor6Char" w:customStyle="1">
    <w:name w:val="Címsor 6 Char"/>
    <w:basedOn w:val="DefaultParagraphFont"/>
    <w:uiPriority w:val="9"/>
    <w:qFormat/>
    <w:rsid w:val="00ce73e0"/>
    <w:rPr>
      <w:smallCaps/>
      <w:color w:themeColor="accent6" w:val="4D4D4D"/>
      <w:spacing w:val="5"/>
      <w:sz w:val="22"/>
      <w:szCs w:val="22"/>
    </w:rPr>
  </w:style>
  <w:style w:type="character" w:styleId="Cmsor7Char" w:customStyle="1">
    <w:name w:val="Címsor 7 Char"/>
    <w:basedOn w:val="DefaultParagraphFont"/>
    <w:uiPriority w:val="9"/>
    <w:semiHidden/>
    <w:qFormat/>
    <w:rsid w:val="00ce73e0"/>
    <w:rPr>
      <w:b/>
      <w:bCs/>
      <w:smallCaps/>
      <w:color w:themeColor="accent6" w:val="4D4D4D"/>
      <w:spacing w:val="10"/>
    </w:rPr>
  </w:style>
  <w:style w:type="character" w:styleId="Cmsor8Char" w:customStyle="1">
    <w:name w:val="Címsor 8 Char"/>
    <w:basedOn w:val="DefaultParagraphFont"/>
    <w:uiPriority w:val="9"/>
    <w:semiHidden/>
    <w:qFormat/>
    <w:rsid w:val="00ce73e0"/>
    <w:rPr>
      <w:b/>
      <w:bCs/>
      <w:i/>
      <w:iCs/>
      <w:smallCaps/>
      <w:color w:themeColor="accent6" w:themeShade="bf" w:val="393939"/>
    </w:rPr>
  </w:style>
  <w:style w:type="character" w:styleId="Cmsor9Char" w:customStyle="1">
    <w:name w:val="Címsor 9 Char"/>
    <w:basedOn w:val="DefaultParagraphFont"/>
    <w:uiPriority w:val="9"/>
    <w:semiHidden/>
    <w:qFormat/>
    <w:rsid w:val="00ce73e0"/>
    <w:rPr>
      <w:b/>
      <w:bCs/>
      <w:i/>
      <w:iCs/>
      <w:smallCaps/>
      <w:color w:themeColor="accent6" w:themeShade="80" w:val="262626"/>
    </w:rPr>
  </w:style>
  <w:style w:type="character" w:styleId="CmChar" w:customStyle="1">
    <w:name w:val="Cím Char"/>
    <w:basedOn w:val="DefaultParagraphFont"/>
    <w:uiPriority w:val="10"/>
    <w:qFormat/>
    <w:rsid w:val="00ce73e0"/>
    <w:rPr>
      <w:smallCaps/>
      <w:color w:themeColor="text1" w:themeTint="d9" w:val="262626"/>
      <w:sz w:val="52"/>
      <w:szCs w:val="52"/>
    </w:rPr>
  </w:style>
  <w:style w:type="character" w:styleId="AlcmChar" w:customStyle="1">
    <w:name w:val="Alcím Char"/>
    <w:basedOn w:val="DefaultParagraphFont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themeColor="accent6" w:val="4D4D4D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themeColor="accent6" w:val="4D4D4D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/>
      <w:contextualSpacing/>
    </w:pPr>
    <w:rPr/>
  </w:style>
  <w:style w:type="paragraph" w:styleId="FootnoteText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Lfejsllb">
    <w:name w:val="Élőfej és élőláb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 w:themeColor="accent6"/>
      </w:pBdr>
      <w:spacing w:before="0" w:after="120"/>
      <w:jc w:val="right"/>
    </w:pPr>
    <w:rPr>
      <w:smallCaps/>
      <w:color w:themeColor="text1" w:themeTint="d9" w:val="262626"/>
      <w:sz w:val="52"/>
      <w:szCs w:val="52"/>
    </w:rPr>
  </w:style>
  <w:style w:type="paragraph" w:styleId="Subtitle">
    <w:name w:val="Subtitle"/>
    <w:basedOn w:val="Normal"/>
    <w:next w:val="Normal"/>
    <w:link w:val="Alcm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incstrkzChar"/>
    <w:uiPriority w:val="1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paragraph" w:styleId="IndexHeading">
    <w:name w:val="Index Heading"/>
    <w:basedOn w:val="Cmsor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Listaszertblzat7tarka">
    <w:name w:val="List Table 7 Colorful"/>
    <w:basedOn w:val="Normltblzat"/>
    <w:uiPriority w:val="52"/>
    <w:rsid w:val="00e13611"/>
    <w:rPr>
      <w:color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Szürkeárnyalatos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5BD6-8B43-4F27-8280-1272FE8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LibreOffice/7.6.4.1$Windows_X86_64 LibreOffice_project/e19e193f88cd6c0525a17fb7a176ed8e6a3e2aa1</Application>
  <AppVersion>15.0000</AppVersion>
  <Pages>4</Pages>
  <Words>756</Words>
  <Characters>5850</Characters>
  <CharactersWithSpaces>6485</CharactersWithSpaces>
  <Paragraphs>154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2023-02-13T09:53:00Z</dcterms:created>
  <dc:creator>JAI</dc:creator>
  <dc:description/>
  <dc:language>hu-HU</dc:language>
  <cp:lastModifiedBy/>
  <dcterms:modified xsi:type="dcterms:W3CDTF">2024-02-13T06:17:37Z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