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bCs/>
          <w:i/>
          <w:i/>
          <w:iCs/>
        </w:rPr>
      </w:pPr>
      <w:r>
        <w:rPr>
          <w:b/>
          <w:bCs/>
          <w:i/>
          <w:iCs/>
        </w:rPr>
        <w:t>1.sz. Melléklet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>Ajánlott minta: „Tantárgyleírás, tantárgyi tematika és teljesítési követelmények”</w:t>
      </w:r>
    </w:p>
    <w:p>
      <w:pPr>
        <w:pStyle w:val="Heading1"/>
        <w:shd w:val="clear" w:color="auto" w:fill="C7C7C7" w:themeFill="accent1" w:themeFillShade="e6"/>
        <w:rPr>
          <w:lang w:val="en-US"/>
        </w:rPr>
      </w:pPr>
      <w:r>
        <w:rPr/>
        <w:t xml:space="preserve">Tantárgyi tematika és teljesítési követelmények </w:t>
        <w:br/>
      </w:r>
      <w:r>
        <w:rPr>
          <w:lang w:val="en-US"/>
        </w:rPr>
        <w:t>2023/2024 II félév</w:t>
      </w:r>
    </w:p>
    <w:tbl>
      <w:tblPr>
        <w:tblStyle w:val="Tblzatrcsos7tarka1"/>
        <w:tblW w:w="48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24"/>
        <w:gridCol w:w="652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24" w:type="dxa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top w:val="nil"/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bCs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Cím</w:t>
            </w:r>
          </w:p>
        </w:tc>
        <w:tc>
          <w:tcPr>
            <w:tcW w:w="6527" w:type="dxa"/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Borders>
              <w:top w:val="nil"/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 w:val="false"/>
                <w:color w:val="auto"/>
                <w:sz w:val="24"/>
                <w:szCs w:val="24"/>
              </w:rPr>
            </w:pPr>
            <w:r>
              <w:rPr>
                <w:rFonts w:eastAsia="" w:cs=""/>
                <w:b/>
                <w:bCs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IRÁNYÍTÁSTECHNIKA 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Tárgykód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i w:val="false"/>
                <w:i w:val="false"/>
                <w:color w:val="auto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IVB201MNVM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Heti óraszám: ea/gy/lab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i w:val="false"/>
                <w:i w:val="false"/>
                <w:color w:val="auto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2 ea,0 gy,0 lab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Kreditpont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i w:val="false"/>
                <w:i w:val="false"/>
                <w:color w:val="auto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2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Szak(ok)/ típus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i w:val="false"/>
                <w:i w:val="false"/>
                <w:color w:val="auto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Villamosmérnök alapszak(BSc)/K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Tagozat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iCs w:val="false"/>
                <w:color w:val="auto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Nappali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Követelmény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i w:val="false"/>
                <w:i w:val="false"/>
                <w:color w:val="auto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f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Meghirdetés féléve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i w:val="false"/>
                <w:i w:val="false"/>
                <w:color w:val="auto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ta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Előzetes követelmény(ek)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i w:val="false"/>
                <w:i w:val="false"/>
                <w:color w:val="auto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Irányítástechnika I.-</w:t>
            </w: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IVB029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Oktató tanszék(ek)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i w:val="false"/>
                <w:i w:val="false"/>
                <w:color w:val="auto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Automatizálási Tanszék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Tárgyfelelős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Helmich József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 Light" w:hAnsi="Calibri Light" w:asciiTheme="majorHAnsi" w:hAnsiTheme="majorHAnsi"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Oktatók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 Light" w:hAnsi="Calibri Light" w:asciiTheme="majorHAnsi" w:hAnsiTheme="majorHAnsi"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Helmich József</w:t>
            </w:r>
          </w:p>
        </w:tc>
      </w:tr>
      <w:tr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624" w:type="dxa"/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Borders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eastAsia="" w:cs=""/>
                <w:b/>
                <w:bCs/>
                <w:i/>
                <w:iCs/>
                <w:color w:val="auto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6527" w:type="dxa"/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Borders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eastAsia="" w:cs=""/>
                <w:b/>
                <w:bCs/>
                <w:i/>
                <w:iCs/>
                <w:color w:val="auto"/>
                <w:kern w:val="0"/>
                <w:sz w:val="22"/>
                <w:szCs w:val="22"/>
                <w:lang w:val="hu-HU" w:eastAsia="en-US" w:bidi="ar-SA"/>
              </w:rPr>
            </w:r>
          </w:p>
        </w:tc>
      </w:tr>
    </w:tbl>
    <w:p>
      <w:pPr>
        <w:pStyle w:val="Heading1"/>
        <w:shd w:val="clear" w:color="auto" w:fill="C7C7C7" w:themeFill="accent1" w:themeFillShade="e6"/>
        <w:rPr>
          <w:rFonts w:ascii="Times New Roman" w:hAnsi="Times New Roman"/>
          <w:sz w:val="20"/>
        </w:rPr>
      </w:pPr>
      <w:r>
        <w:rPr/>
        <w:t>Tárgyleírás</w:t>
      </w:r>
    </w:p>
    <w:p>
      <w:pPr>
        <w:pStyle w:val="Normal"/>
        <w:suppressAutoHyphens w:val="true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 tantárgy rövid leírása (max. 10 rövid mondat). (Neptunban: Oktatás/Tárgyak/Tárgy adatok/Alapadatok/Tárgyleírás rovat)</w:t>
      </w:r>
    </w:p>
    <w:p>
      <w:pPr>
        <w:pStyle w:val="Normal"/>
        <w:shd w:val="clear" w:color="auto" w:fill="DFDFDF" w:themeFill="background2" w:themeFillShade="e6"/>
        <w:rPr/>
      </w:pPr>
      <w:r>
        <w:rPr/>
        <w:t xml:space="preserve">… </w:t>
      </w:r>
      <w:r>
        <w:rPr/>
        <w:t>Érzékelők statikus és dinamikus jellemzői. Közelítéskapcsolók, induktív-, kapacitív- galván-, mágneses érzékelők. Fordulatszám érzékelők. Digitális fordulatszámmérés frekvencia-, és periódusidő méréssel. Váltakozó áram és váltakozó feszültség érzékelése. Alapjel-képzők. Különbség-képzők. Tápegységek, feszültség stabilizátorok. Elektromechanikus és szilárdtest relék felépítése és jellemzői. Szabályozók megvalósítása.</w:t>
      </w:r>
    </w:p>
    <w:p>
      <w:pPr>
        <w:pStyle w:val="Normal"/>
        <w:suppressAutoHyphens w:val="true"/>
        <w:rPr>
          <w:i/>
          <w:i/>
          <w:iCs/>
        </w:rPr>
      </w:pPr>
      <w:r>
        <w:rPr>
          <w:i/>
          <w:iCs/>
        </w:rPr>
      </w:r>
    </w:p>
    <w:p>
      <w:pPr>
        <w:pStyle w:val="Heading1"/>
        <w:shd w:val="clear" w:color="auto" w:fill="C7C7C7" w:themeFill="accent1" w:themeFillShade="e6"/>
        <w:rPr>
          <w:lang w:val="en-US"/>
        </w:rPr>
      </w:pPr>
      <w:r>
        <w:rPr>
          <w:lang w:val="en-US"/>
        </w:rPr>
        <w:t>Tárgytematika</w:t>
      </w:r>
    </w:p>
    <w:p>
      <w:pPr>
        <w:pStyle w:val="Normal"/>
        <w:rPr>
          <w:lang w:val="en-US"/>
        </w:rPr>
      </w:pPr>
      <w:r>
        <w:rPr>
          <w:i/>
          <w:iCs/>
          <w:sz w:val="16"/>
          <w:szCs w:val="16"/>
        </w:rPr>
        <w:t>(Neptunban: Oktatás/Tárgyak/Tárgy adatok/Tárgytematika ablak)</w:t>
      </w:r>
    </w:p>
    <w:p>
      <w:pPr>
        <w:pStyle w:val="Heading2"/>
        <w:numPr>
          <w:ilvl w:val="0"/>
          <w:numId w:val="3"/>
        </w:numPr>
        <w:rPr>
          <w:rFonts w:ascii="Times New Roman" w:hAnsi="Times New Roman"/>
          <w:b/>
          <w:bCs/>
        </w:rPr>
      </w:pPr>
      <w:r>
        <w:rPr>
          <w:b/>
          <w:bCs/>
          <w:lang w:val="en-US"/>
        </w:rPr>
        <w:t>Az oktatás célja</w:t>
      </w:r>
    </w:p>
    <w:p>
      <w:pPr>
        <w:pStyle w:val="Normal"/>
        <w:suppressAutoHyphens w:val="true"/>
        <w:ind w:left="709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Célkitűzések és a tantárgy teljesítésével elérhető tanulási eredmények megfogalmazása. </w:t>
      </w:r>
    </w:p>
    <w:p>
      <w:pPr>
        <w:pStyle w:val="Normal"/>
        <w:suppressAutoHyphens w:val="true"/>
        <w:ind w:left="709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>
      <w:pPr>
        <w:pStyle w:val="Normal"/>
        <w:shd w:val="clear" w:color="auto" w:fill="DFDFDF" w:themeFill="background2" w:themeFillShade="e6"/>
        <w:jc w:val="left"/>
        <w:rPr/>
      </w:pPr>
      <w:r>
        <w:rPr/>
        <w:t xml:space="preserve">… </w:t>
      </w:r>
      <w:r>
        <w:rPr/>
        <w:t>Az Irányítástechnika I., II. és III. tantárgyakban tanult elméleti ismeretek gyakorlati megvalósítása, az automatika elemek megismerése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2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 tantárgy tartalma</w:t>
      </w:r>
    </w:p>
    <w:p>
      <w:pPr>
        <w:pStyle w:val="Normal"/>
        <w:suppressAutoHyphens w:val="true"/>
        <w:ind w:left="709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>
      <w:pPr>
        <w:pStyle w:val="Normal"/>
        <w:suppressAutoHyphens w:val="true"/>
        <w:ind w:left="709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tbl>
      <w:tblPr>
        <w:tblStyle w:val="PlainTable3"/>
        <w:tblW w:w="10348" w:type="dxa"/>
        <w:jc w:val="left"/>
        <w:tblInd w:w="1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2"/>
        <w:gridCol w:w="850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2" w:type="dxa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bottom w:val="single" w:sz="4" w:space="0" w:color="7F7F7F"/>
            </w:tcBorders>
            <w:shd w:color="auto" w:fill="auto" w:val="clear"/>
          </w:tcPr>
          <w:p>
            <w:pPr>
              <w:pStyle w:val="Normal"/>
              <w:keepNext w:val="true"/>
              <w:widowControl/>
              <w:spacing w:before="0" w:after="0"/>
              <w:jc w:val="both"/>
              <w:rPr>
                <w:b w:val="false"/>
                <w:bCs w:val="false"/>
              </w:rPr>
            </w:pPr>
            <w:r>
              <w:rPr>
                <w:rFonts w:eastAsia="" w:cs=""/>
                <w:b w:val="false"/>
                <w:bCs w:val="false"/>
                <w:caps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8505" w:type="dxa"/>
            <w:tcBorders>
              <w:bottom w:val="single" w:sz="4" w:space="0" w:color="7F7F7F"/>
            </w:tcBorders>
            <w:shd w:color="auto" w:fill="auto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Témakörök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Calibri" w:cstheme="minorHAnsi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Előadás</w:t>
            </w:r>
          </w:p>
        </w:tc>
        <w:tc>
          <w:tcPr>
            <w:tcW w:w="8505" w:type="dxa"/>
            <w:tcBorders/>
            <w:shd w:color="auto" w:fill="DFDFDF" w:themeFill="background2" w:themeFillShade="e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themeColor="accent3" w:val="969696"/>
              </w:rPr>
            </w:pPr>
            <w:r>
              <w:rPr>
                <w:rFonts w:eastAsia="" w:cs=""/>
                <w:i/>
                <w:iCs/>
                <w:color w:themeColor="accent3" w:val="969696"/>
                <w:kern w:val="0"/>
                <w:sz w:val="20"/>
                <w:szCs w:val="20"/>
                <w:lang w:val="hu-HU" w:eastAsia="en-US" w:bidi="ar-SA"/>
              </w:rPr>
              <w:t>Érzékelők jellemzői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themeColor="accent3" w:val="969696"/>
              </w:rPr>
            </w:pPr>
            <w:r>
              <w:rPr>
                <w:rFonts w:eastAsia="" w:cs=""/>
                <w:i/>
                <w:iCs/>
                <w:color w:themeColor="accent3" w:val="969696"/>
                <w:kern w:val="0"/>
                <w:sz w:val="20"/>
                <w:szCs w:val="20"/>
                <w:lang w:val="hu-HU" w:eastAsia="en-US" w:bidi="ar-SA"/>
              </w:rPr>
              <w:t>Helyzetérzékelők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themeColor="accent3" w:val="969696"/>
              </w:rPr>
            </w:pPr>
            <w:r>
              <w:rPr>
                <w:rFonts w:eastAsia="" w:cs=""/>
                <w:i/>
                <w:iCs/>
                <w:color w:themeColor="accent3" w:val="969696"/>
                <w:kern w:val="0"/>
                <w:sz w:val="20"/>
                <w:szCs w:val="20"/>
                <w:lang w:val="hu-HU" w:eastAsia="en-US" w:bidi="ar-SA"/>
              </w:rPr>
              <w:t>Elmozdulás érzékelők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themeColor="accent3" w:val="969696"/>
              </w:rPr>
            </w:pPr>
            <w:r>
              <w:rPr>
                <w:rFonts w:eastAsia="" w:cs=""/>
                <w:i/>
                <w:iCs/>
                <w:color w:themeColor="accent3" w:val="969696"/>
                <w:kern w:val="0"/>
                <w:sz w:val="20"/>
                <w:szCs w:val="20"/>
                <w:lang w:val="hu-HU" w:eastAsia="en-US" w:bidi="ar-SA"/>
              </w:rPr>
              <w:t>Villamos mennyiségek érzékelése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themeColor="accent3" w:val="969696"/>
              </w:rPr>
            </w:pPr>
            <w:r>
              <w:rPr>
                <w:rFonts w:eastAsia="" w:cs=""/>
                <w:i/>
                <w:iCs/>
                <w:color w:themeColor="accent3" w:val="969696"/>
                <w:kern w:val="0"/>
                <w:sz w:val="20"/>
                <w:szCs w:val="20"/>
                <w:lang w:val="hu-HU" w:eastAsia="en-US" w:bidi="ar-SA"/>
              </w:rPr>
              <w:t>Alapjel képzők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themeColor="accent3" w:val="969696"/>
              </w:rPr>
            </w:pPr>
            <w:r>
              <w:rPr>
                <w:rFonts w:eastAsia="" w:cs=""/>
                <w:i/>
                <w:iCs/>
                <w:color w:themeColor="accent3" w:val="969696"/>
                <w:kern w:val="0"/>
                <w:sz w:val="20"/>
                <w:szCs w:val="20"/>
                <w:lang w:val="hu-HU" w:eastAsia="en-US" w:bidi="ar-SA"/>
              </w:rPr>
              <w:t>Villamos szabályozók</w:t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themeColor="accent3" w:val="969696"/>
              </w:rPr>
            </w:pPr>
            <w:r>
              <w:rPr>
                <w:rFonts w:eastAsia="" w:cs=""/>
                <w:i/>
                <w:iCs/>
                <w:color w:themeColor="accent3" w:val="969696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18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Calibri" w:cstheme="minorHAnsi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 w:val="false"/>
                <w:bCs w:val="false"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</w:r>
          </w:p>
        </w:tc>
        <w:tc>
          <w:tcPr>
            <w:tcW w:w="8505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themeColor="accent3" w:val="969696"/>
              </w:rPr>
            </w:pPr>
            <w:r>
              <w:rPr>
                <w:rFonts w:eastAsia="" w:cs=""/>
                <w:i/>
                <w:iCs/>
                <w:color w:themeColor="accent3" w:val="969696"/>
                <w:kern w:val="0"/>
                <w:sz w:val="20"/>
                <w:szCs w:val="20"/>
                <w:lang w:val="hu-H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themeColor="accent3" w:val="969696"/>
              </w:rPr>
            </w:pPr>
            <w:r>
              <w:rPr>
                <w:rFonts w:eastAsia="" w:cs=""/>
                <w:i/>
                <w:iCs/>
                <w:color w:themeColor="accent3" w:val="969696"/>
                <w:kern w:val="0"/>
                <w:sz w:val="20"/>
                <w:szCs w:val="20"/>
                <w:lang w:val="hu-H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themeColor="accent3" w:val="969696"/>
              </w:rPr>
            </w:pPr>
            <w:r>
              <w:rPr>
                <w:rFonts w:eastAsia="" w:cs=""/>
                <w:i/>
                <w:iCs/>
                <w:color w:themeColor="accent3" w:val="969696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cs="Calibri" w:cstheme="minorHAnsi"/>
                <w:b w:val="false"/>
                <w:bCs w:val="false"/>
                <w:caps w:val="false"/>
                <w:smallCap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-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cs="Calibri" w:cstheme="minorHAnsi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 w:val="false"/>
                <w:bCs w:val="false"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</w:r>
          </w:p>
        </w:tc>
        <w:tc>
          <w:tcPr>
            <w:tcW w:w="8505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themeColor="accent3" w:val="969696"/>
              </w:rPr>
            </w:pPr>
            <w:r>
              <w:rPr>
                <w:rFonts w:eastAsia="" w:cs=""/>
                <w:i/>
                <w:iCs/>
                <w:color w:themeColor="accent3" w:val="969696"/>
                <w:kern w:val="0"/>
                <w:sz w:val="20"/>
                <w:szCs w:val="20"/>
                <w:lang w:val="hu-H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themeColor="accent3" w:val="969696"/>
              </w:rPr>
            </w:pPr>
            <w:r>
              <w:rPr>
                <w:rFonts w:eastAsia="" w:cs=""/>
                <w:i/>
                <w:iCs/>
                <w:color w:themeColor="accent3" w:val="969696"/>
                <w:kern w:val="0"/>
                <w:sz w:val="20"/>
                <w:szCs w:val="20"/>
                <w:lang w:val="hu-H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themeColor="accent3" w:val="969696"/>
              </w:rPr>
            </w:pPr>
            <w:r>
              <w:rPr>
                <w:rFonts w:eastAsia="" w:cs=""/>
                <w:i/>
                <w:iCs/>
                <w:color w:themeColor="accent3" w:val="969696"/>
                <w:kern w:val="0"/>
                <w:sz w:val="20"/>
                <w:szCs w:val="20"/>
                <w:lang w:val="hu-HU" w:eastAsia="en-US" w:bidi="ar-SA"/>
              </w:rPr>
            </w:r>
          </w:p>
        </w:tc>
      </w:tr>
    </w:tbl>
    <w:p>
      <w:pPr>
        <w:pStyle w:val="Normal"/>
        <w:jc w:val="center"/>
        <w:rPr>
          <w:b/>
          <w:bCs/>
          <w:highlight w:val="green"/>
        </w:rPr>
      </w:pPr>
      <w:r>
        <w:rPr>
          <w:b/>
          <w:bCs/>
          <w:highlight w:val="green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3"/>
        <w:rPr>
          <w:b/>
          <w:bCs/>
        </w:rPr>
      </w:pPr>
      <w:r>
        <w:rPr>
          <w:b/>
          <w:bCs/>
        </w:rPr>
        <w:t>Részletes tantárgyi program és a követelmények ütemezése</w:t>
      </w:r>
    </w:p>
    <w:p>
      <w:pPr>
        <w:pStyle w:val="Normal"/>
        <w:ind w:left="709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Jelezzük az oktatási szüneteket is!</w:t>
      </w:r>
    </w:p>
    <w:p>
      <w:pPr>
        <w:pStyle w:val="Normal"/>
        <w:rPr/>
      </w:pPr>
      <w:r>
        <w:rPr/>
      </w:r>
    </w:p>
    <w:tbl>
      <w:tblPr>
        <w:tblStyle w:val="Tblzatrcsos7tarka1"/>
        <w:tblW w:w="10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1"/>
        <w:gridCol w:w="3827"/>
        <w:gridCol w:w="1984"/>
        <w:gridCol w:w="1842"/>
        <w:gridCol w:w="198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50" w:type="dxa"/>
            <w:gridSpan w:val="5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top w:val="nil"/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keepNext w:val="true"/>
              <w:widowControl/>
              <w:spacing w:before="0" w:after="0"/>
              <w:jc w:val="left"/>
              <w:rPr>
                <w:rFonts w:cs="Calibri" w:cstheme="minorHAnsi"/>
                <w:b w:val="false"/>
                <w:bCs w:val="false"/>
                <w:spacing w:val="20"/>
              </w:rPr>
            </w:pPr>
            <w:r>
              <w:rPr>
                <w:rFonts w:eastAsia="" w:cs="Calibri" w:cstheme="minorHAnsi"/>
                <w:b/>
                <w:bCs/>
                <w:i/>
                <w:iCs/>
                <w:color w:themeColor="text1" w:val="000000"/>
                <w:spacing w:val="20"/>
                <w:kern w:val="0"/>
                <w:sz w:val="20"/>
                <w:szCs w:val="20"/>
                <w:lang w:val="hu-HU" w:eastAsia="en-US" w:bidi="ar-SA"/>
              </w:rPr>
              <w:t>ELŐADÁS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rPr>
                <w:rFonts w:cs="Calibri" w:cstheme="minorHAnsi"/>
                <w:b/>
                <w:bCs/>
                <w:caps/>
              </w:rPr>
            </w:pPr>
            <w:r>
              <w:rPr>
                <w:rFonts w:eastAsia="" w:cs="Calibri" w:cstheme="minorHAnsi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Okta-tási hét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eastAsia="" w:cs=""/>
                <w:b/>
                <w:b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Téma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eastAsia="" w:cs=""/>
                <w:b/>
                <w:b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Kötelező irodalom hivatkozás, oldalszám (-tól-ig)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eastAsia="" w:cs=""/>
                <w:b/>
                <w:b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Teljesítendő feladat</w:t>
              <w:br/>
              <w:t>(beadandó, zárthelyi, stb.)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keepNext w:val="true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eastAsia="" w:cs=""/>
                <w:b/>
                <w:b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Teljesítés ideje, határideje</w:t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1.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Irányítástechnika IV tematika ismertetése</w:t>
            </w:r>
          </w:p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Irányítás működési vázlata és benne lévő szervek feladata.</w:t>
            </w: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…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…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…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…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2.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Érzékelők jellemzői, érzékelőkkel szemben támasztott követelmények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3.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Helyezet értékelők, elmozdulás érzékelők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4.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Elfordulás érzékelők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5.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Forgás érzékelők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6.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Digitális fordulatszám mérés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7.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Szintérzékelés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8.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Áramlás és nyomásérzékelés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9.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Villamos mennyiségek érzékelése.</w:t>
            </w:r>
          </w:p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Váltakozó áram, feszültség érzékelése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10.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Egyenáram és egyen feszültség érzékelése.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11.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Villamos mennyiségek szorzása. Villamos teljesítmény, fázisszög mérése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12.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Alapjel képzők, különbségképzők, szabályozók megvalósítása műveleti erősítővel.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13.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Munka ünnepe Szünet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14.</w:t>
            </w:r>
          </w:p>
        </w:tc>
        <w:tc>
          <w:tcPr>
            <w:tcW w:w="382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2"/>
                <w:szCs w:val="22"/>
                <w:lang w:val="hu-HU" w:eastAsia="en-US" w:bidi="ar-SA"/>
              </w:rPr>
              <w:t>Számonkérés.</w:t>
            </w:r>
          </w:p>
        </w:tc>
        <w:tc>
          <w:tcPr>
            <w:tcW w:w="1984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15.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</w:tbl>
    <w:p>
      <w:pPr>
        <w:pStyle w:val="Normal"/>
        <w:rPr>
          <w:b/>
          <w:bCs/>
        </w:rPr>
      </w:pPr>
      <w:r>
        <w:rPr>
          <w:b/>
          <w:bCs/>
        </w:rPr>
      </w:r>
    </w:p>
    <w:tbl>
      <w:tblPr>
        <w:tblStyle w:val="Tblzatrcsos7tarka1"/>
        <w:tblW w:w="103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3832"/>
        <w:gridCol w:w="1986"/>
        <w:gridCol w:w="1842"/>
        <w:gridCol w:w="198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48" w:type="dxa"/>
            <w:gridSpan w:val="5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top w:val="nil"/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keepNext w:val="true"/>
              <w:widowControl/>
              <w:spacing w:before="0" w:after="0"/>
              <w:jc w:val="left"/>
              <w:rPr>
                <w:rFonts w:cs="Calibri" w:cstheme="minorHAnsi"/>
                <w:b w:val="false"/>
                <w:bCs w:val="false"/>
                <w:caps/>
                <w:spacing w:val="20"/>
              </w:rPr>
            </w:pPr>
            <w:r>
              <w:rPr>
                <w:rFonts w:eastAsia="" w:cs="Calibri" w:cstheme="minorHAnsi"/>
                <w:b/>
                <w:bCs/>
                <w:i/>
                <w:iCs/>
                <w:caps/>
                <w:color w:themeColor="text1" w:val="000000"/>
                <w:spacing w:val="20"/>
                <w:kern w:val="0"/>
                <w:sz w:val="20"/>
                <w:szCs w:val="20"/>
                <w:lang w:val="hu-HU" w:eastAsia="en-US" w:bidi="ar-SA"/>
              </w:rPr>
              <w:t>Gyakorlat/Laborgyakorlat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eastAsia="" w:cs="Calibri" w:cstheme="minorHAnsi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Okta-tási hét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eastAsia="" w:cs=""/>
                <w:b/>
                <w:b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Téma</w:t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eastAsia="" w:cs=""/>
                <w:b/>
                <w:b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 xml:space="preserve">Kötelező irodalom, </w:t>
              <w:br/>
              <w:t>oldalszám (-tól-ig)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eastAsia="" w:cs=""/>
                <w:b/>
                <w:b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Teljesítendő feladat</w:t>
              <w:br/>
              <w:t>(beadandó, zárthelyi, stb.)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eastAsia="" w:cs=""/>
                <w:b/>
                <w:b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Teljesítés ideje, határideje</w:t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1.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…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2.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3.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4.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5.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6.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7.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8.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9.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10.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11.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12.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13.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14.</w:t>
            </w:r>
          </w:p>
        </w:tc>
        <w:tc>
          <w:tcPr>
            <w:tcW w:w="383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  <w:t>15.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themeColor="text1"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2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>Számonkérési és értékelési rendszer</w:t>
      </w:r>
    </w:p>
    <w:p>
      <w:pPr>
        <w:pStyle w:val="Normal"/>
        <w:suppressAutoHyphens w:val="true"/>
        <w:ind w:left="709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adatok/Tárgytematika/Számonkérési és értékelési rendszere rovat)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5"/>
        <w:rPr>
          <w:b/>
          <w:bCs/>
          <w:color w:val="auto"/>
          <w:u w:val="single"/>
          <w:lang w:val="en-US"/>
        </w:rPr>
      </w:pPr>
      <w:r>
        <w:rPr>
          <w:b/>
          <w:bCs/>
          <w:color w:val="auto"/>
          <w:u w:val="single"/>
          <w:lang w:val="en-US"/>
        </w:rPr>
        <w:t xml:space="preserve">Jelenléti és részvételi követelmények </w:t>
      </w:r>
    </w:p>
    <w:p>
      <w:pPr>
        <w:pStyle w:val="Normal"/>
        <w:rPr>
          <w:i/>
          <w:i/>
          <w:iCs/>
          <w:sz w:val="16"/>
          <w:szCs w:val="16"/>
        </w:rPr>
      </w:pPr>
      <w:r>
        <w:rPr>
          <w:sz w:val="16"/>
          <w:szCs w:val="16"/>
        </w:rPr>
        <w:t xml:space="preserve">A </w:t>
      </w:r>
      <w:r>
        <w:rPr>
          <w:i/>
          <w:iCs/>
          <w:sz w:val="16"/>
          <w:szCs w:val="16"/>
        </w:rPr>
        <w:t xml:space="preserve">PTE TVSz </w:t>
      </w:r>
      <w:r>
        <w:rPr>
          <w:sz w:val="16"/>
          <w:szCs w:val="16"/>
        </w:rPr>
        <w:t>45.§ (2) és</w:t>
      </w:r>
      <w:r>
        <w:rPr>
          <w:i/>
          <w:iCs/>
          <w:sz w:val="16"/>
          <w:szCs w:val="16"/>
        </w:rPr>
        <w:t xml:space="preserve">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</w:rPr>
        <w:t xml:space="preserve">A jelenlét ellenőrzésének módja </w:t>
      </w:r>
      <w:r>
        <w:rPr>
          <w:i/>
          <w:iCs/>
          <w:sz w:val="16"/>
          <w:szCs w:val="16"/>
        </w:rPr>
        <w:t>(pl.: jelenléti ív / online teszt/ jegyzőkönyv, stb.)</w:t>
      </w:r>
    </w:p>
    <w:p>
      <w:pPr>
        <w:pStyle w:val="Normal"/>
        <w:shd w:val="clear" w:color="auto" w:fill="DFDFDF" w:themeFill="background2" w:themeFillShade="e6"/>
        <w:rPr/>
      </w:pPr>
      <w:r>
        <w:rPr/>
        <w:t>…</w:t>
      </w:r>
    </w:p>
    <w:p>
      <w:pPr>
        <w:pStyle w:val="Normal"/>
        <w:shd w:val="clear" w:color="auto" w:fill="DFDFDF" w:themeFill="background2" w:themeFillShade="e6"/>
        <w:rPr/>
      </w:pPr>
      <w:r>
        <w:rPr/>
        <w:t>Katalógus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5"/>
        <w:keepNext w:val="true"/>
        <w:rPr>
          <w:b/>
          <w:bCs/>
          <w:color w:val="auto"/>
          <w:u w:val="single"/>
          <w:lang w:val="en-US"/>
        </w:rPr>
      </w:pPr>
      <w:r>
        <w:rPr>
          <w:b/>
          <w:bCs/>
          <w:color w:val="auto"/>
          <w:u w:val="single"/>
          <w:lang w:val="en-US"/>
        </w:rPr>
        <w:t xml:space="preserve">Számonkérések </w:t>
      </w:r>
    </w:p>
    <w:p>
      <w:pPr>
        <w:pStyle w:val="Normal"/>
        <w:keepNext w:val="true"/>
        <w:ind w:left="708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A tantárgy követelménytípusának megfelelő rovatok töltendők ki (félévközi jeggyel, vagy vizsgával záruló tantárgyak). A másik típus rovatai törölhetők. </w:t>
      </w:r>
    </w:p>
    <w:p>
      <w:pPr>
        <w:pStyle w:val="Normal"/>
        <w:keepNext w:val="true"/>
        <w:rPr/>
      </w:pPr>
      <w:r>
        <w:rPr/>
      </w:r>
    </w:p>
    <w:p>
      <w:pPr>
        <w:pStyle w:val="IntenseQuote"/>
        <w:ind w:hanging="1440" w:left="1440" w:right="1440"/>
        <w:rPr>
          <w:sz w:val="22"/>
          <w:szCs w:val="22"/>
        </w:rPr>
      </w:pPr>
      <w:r>
        <w:rPr>
          <w:sz w:val="22"/>
          <w:szCs w:val="22"/>
        </w:rPr>
        <w:t xml:space="preserve">Félévközi jeggyel záruló tantárgy </w:t>
      </w:r>
      <w:r>
        <w:rPr>
          <w:b w:val="false"/>
          <w:bCs w:val="false"/>
          <w:sz w:val="22"/>
          <w:szCs w:val="22"/>
        </w:rPr>
        <w:t>(PTE TVSz 40§(3))</w:t>
      </w:r>
    </w:p>
    <w:p>
      <w:pPr>
        <w:pStyle w:val="Normal"/>
        <w:rPr>
          <w:rStyle w:val="SubtleEmphasis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hanging="851" w:left="851"/>
        <w:rPr>
          <w:rStyle w:val="SubtleEmphasis"/>
          <w:b/>
          <w:bCs/>
        </w:rPr>
      </w:pPr>
      <w:r>
        <w:rPr>
          <w:rStyle w:val="SubtleEmphasis"/>
          <w:b/>
          <w:bCs/>
        </w:rPr>
        <w:t xml:space="preserve">Félévközi ellenőrzések, teljesítményértékelések és részarányuk a minősítésben </w:t>
      </w:r>
      <w:r>
        <w:rPr>
          <w:rStyle w:val="SubtleEmphasis"/>
          <w:sz w:val="16"/>
          <w:szCs w:val="16"/>
        </w:rPr>
        <w:t>(A táblázat példái törlendők.)</w:t>
      </w:r>
    </w:p>
    <w:tbl>
      <w:tblPr>
        <w:tblStyle w:val="GridTableLight"/>
        <w:tblW w:w="8500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68"/>
        <w:gridCol w:w="1507"/>
        <w:gridCol w:w="2125"/>
      </w:tblGrid>
      <w:tr>
        <w:trPr/>
        <w:tc>
          <w:tcPr>
            <w:tcW w:w="486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hanging="851" w:left="851"/>
              <w:jc w:val="center"/>
              <w:rPr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Típus</w:t>
            </w:r>
          </w:p>
        </w:tc>
        <w:tc>
          <w:tcPr>
            <w:tcW w:w="15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hanging="851" w:left="851"/>
              <w:jc w:val="center"/>
              <w:rPr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Értékelés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Részarány a minősítésben</w:t>
            </w:r>
          </w:p>
        </w:tc>
      </w:tr>
      <w:tr>
        <w:trPr/>
        <w:tc>
          <w:tcPr>
            <w:tcW w:w="486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left="45"/>
              <w:jc w:val="both"/>
              <w:rPr>
                <w:i/>
                <w:i/>
                <w:iCs/>
                <w:color w:themeColor="accent4" w:val="808080"/>
              </w:rPr>
            </w:pPr>
            <w:r>
              <w:rPr>
                <w:rFonts w:eastAsia="" w:cs=""/>
                <w:i/>
                <w:iCs/>
                <w:color w:themeColor="accent4" w:val="808080"/>
                <w:kern w:val="0"/>
                <w:sz w:val="20"/>
                <w:szCs w:val="20"/>
                <w:lang w:val="hu-HU" w:eastAsia="en-US" w:bidi="ar-SA"/>
              </w:rPr>
              <w:t>pl.: 1. ZH a 14. héten</w:t>
            </w:r>
          </w:p>
        </w:tc>
        <w:tc>
          <w:tcPr>
            <w:tcW w:w="1507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hanging="851" w:left="851"/>
              <w:jc w:val="both"/>
              <w:rPr>
                <w:i/>
                <w:i/>
                <w:iCs/>
                <w:color w:themeColor="accent4" w:val="808080"/>
              </w:rPr>
            </w:pPr>
            <w:r>
              <w:rPr>
                <w:rFonts w:eastAsia="" w:cs=""/>
                <w:i/>
                <w:iCs/>
                <w:color w:themeColor="accent4" w:val="808080"/>
                <w:kern w:val="0"/>
                <w:sz w:val="20"/>
                <w:szCs w:val="20"/>
                <w:lang w:val="hu-HU" w:eastAsia="en-US" w:bidi="ar-SA"/>
              </w:rPr>
              <w:t>pl. max 20 pont</w:t>
            </w:r>
          </w:p>
        </w:tc>
        <w:tc>
          <w:tcPr>
            <w:tcW w:w="2125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hanging="851" w:left="851"/>
              <w:jc w:val="both"/>
              <w:rPr>
                <w:i/>
                <w:i/>
                <w:iCs/>
                <w:color w:themeColor="accent4" w:val="808080"/>
              </w:rPr>
            </w:pPr>
            <w:r>
              <w:rPr>
                <w:rFonts w:eastAsia="" w:cs=""/>
                <w:i/>
                <w:iCs/>
                <w:color w:themeColor="accent4" w:val="808080"/>
                <w:kern w:val="0"/>
                <w:sz w:val="20"/>
                <w:szCs w:val="20"/>
                <w:lang w:val="hu-HU" w:eastAsia="en-US" w:bidi="ar-SA"/>
              </w:rPr>
              <w:t>pl. 20 %</w:t>
            </w:r>
          </w:p>
        </w:tc>
      </w:tr>
      <w:tr>
        <w:trPr/>
        <w:tc>
          <w:tcPr>
            <w:tcW w:w="486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jc w:val="both"/>
              <w:rPr>
                <w:i/>
                <w:i/>
                <w:iCs/>
                <w:color w:themeColor="accent4" w:val="808080"/>
              </w:rPr>
            </w:pPr>
            <w:r>
              <w:rPr>
                <w:rFonts w:eastAsia="" w:cs=""/>
                <w:i/>
                <w:iCs/>
                <w:color w:themeColor="accent4" w:val="80808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507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hanging="851" w:left="851"/>
              <w:jc w:val="both"/>
              <w:rPr>
                <w:i/>
                <w:i/>
                <w:iCs/>
                <w:color w:themeColor="accent4" w:val="808080"/>
              </w:rPr>
            </w:pPr>
            <w:r>
              <w:rPr>
                <w:rFonts w:eastAsia="" w:cs=""/>
                <w:i/>
                <w:iCs/>
                <w:color w:themeColor="accent4" w:val="808080"/>
                <w:kern w:val="0"/>
                <w:sz w:val="20"/>
                <w:szCs w:val="20"/>
                <w:lang w:val="hu-HU" w:eastAsia="en-US" w:bidi="ar-SA"/>
              </w:rPr>
              <w:t>pl. max 30 pont</w:t>
            </w:r>
          </w:p>
        </w:tc>
        <w:tc>
          <w:tcPr>
            <w:tcW w:w="2125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hanging="851" w:left="851"/>
              <w:jc w:val="both"/>
              <w:rPr>
                <w:i/>
                <w:i/>
                <w:iCs/>
                <w:color w:themeColor="accent4" w:val="808080"/>
              </w:rPr>
            </w:pPr>
            <w:r>
              <w:rPr>
                <w:rFonts w:eastAsia="" w:cs=""/>
                <w:i/>
                <w:iCs/>
                <w:color w:themeColor="accent4" w:val="808080"/>
                <w:kern w:val="0"/>
                <w:sz w:val="20"/>
                <w:szCs w:val="20"/>
                <w:lang w:val="hu-HU" w:eastAsia="en-US" w:bidi="ar-SA"/>
              </w:rPr>
              <w:t>pl. 30 %</w:t>
            </w:r>
          </w:p>
        </w:tc>
      </w:tr>
      <w:tr>
        <w:trPr/>
        <w:tc>
          <w:tcPr>
            <w:tcW w:w="486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jc w:val="both"/>
              <w:rPr>
                <w:i/>
                <w:i/>
                <w:iCs/>
                <w:color w:themeColor="accent4" w:val="808080"/>
              </w:rPr>
            </w:pPr>
            <w:r>
              <w:rPr>
                <w:rFonts w:eastAsia="" w:cs=""/>
                <w:i/>
                <w:iCs/>
                <w:color w:themeColor="accent4" w:val="808080"/>
                <w:kern w:val="0"/>
                <w:sz w:val="20"/>
                <w:szCs w:val="20"/>
                <w:lang w:val="hu-HU" w:eastAsia="en-US" w:bidi="ar-SA"/>
              </w:rPr>
              <w:t>pl.: beadandó Hf (projekt dokumentáció)</w:t>
            </w:r>
          </w:p>
        </w:tc>
        <w:tc>
          <w:tcPr>
            <w:tcW w:w="1507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hanging="851" w:left="851"/>
              <w:jc w:val="both"/>
              <w:rPr>
                <w:i/>
                <w:i/>
                <w:iCs/>
                <w:color w:themeColor="accent4" w:val="808080"/>
              </w:rPr>
            </w:pPr>
            <w:r>
              <w:rPr>
                <w:rFonts w:eastAsia="" w:cs=""/>
                <w:i/>
                <w:iCs/>
                <w:color w:themeColor="accent4" w:val="808080"/>
                <w:kern w:val="0"/>
                <w:sz w:val="20"/>
                <w:szCs w:val="20"/>
                <w:lang w:val="hu-HU" w:eastAsia="en-US" w:bidi="ar-SA"/>
              </w:rPr>
              <w:t>pl. max 30 pont</w:t>
            </w:r>
          </w:p>
        </w:tc>
        <w:tc>
          <w:tcPr>
            <w:tcW w:w="2125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hanging="851" w:left="851"/>
              <w:jc w:val="both"/>
              <w:rPr>
                <w:i/>
                <w:i/>
                <w:iCs/>
                <w:color w:themeColor="accent4" w:val="808080"/>
              </w:rPr>
            </w:pPr>
            <w:r>
              <w:rPr>
                <w:rFonts w:eastAsia="" w:cs=""/>
                <w:i/>
                <w:iCs/>
                <w:color w:themeColor="accent4" w:val="808080"/>
                <w:kern w:val="0"/>
                <w:sz w:val="20"/>
                <w:szCs w:val="20"/>
                <w:lang w:val="hu-HU" w:eastAsia="en-US" w:bidi="ar-SA"/>
              </w:rPr>
              <w:t>pl. 30 %</w:t>
            </w:r>
          </w:p>
        </w:tc>
      </w:tr>
      <w:tr>
        <w:trPr/>
        <w:tc>
          <w:tcPr>
            <w:tcW w:w="486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jc w:val="both"/>
              <w:rPr>
                <w:i/>
                <w:i/>
                <w:iCs/>
                <w:color w:themeColor="accent4" w:val="808080"/>
              </w:rPr>
            </w:pPr>
            <w:r>
              <w:rPr>
                <w:rFonts w:eastAsia="" w:cs=""/>
                <w:i/>
                <w:iCs/>
                <w:color w:themeColor="accent4" w:val="808080"/>
                <w:kern w:val="0"/>
                <w:sz w:val="20"/>
                <w:szCs w:val="20"/>
                <w:lang w:val="hu-HU" w:eastAsia="en-US" w:bidi="ar-SA"/>
              </w:rPr>
              <w:t>…</w:t>
            </w:r>
          </w:p>
        </w:tc>
        <w:tc>
          <w:tcPr>
            <w:tcW w:w="1507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hanging="851" w:left="851"/>
              <w:jc w:val="both"/>
              <w:rPr>
                <w:i/>
                <w:i/>
                <w:iCs/>
                <w:color w:themeColor="accent4" w:val="808080"/>
              </w:rPr>
            </w:pPr>
            <w:r>
              <w:rPr>
                <w:rFonts w:eastAsia="" w:cs=""/>
                <w:i/>
                <w:iCs/>
                <w:color w:themeColor="accent4" w:val="808080"/>
                <w:kern w:val="0"/>
                <w:sz w:val="20"/>
                <w:szCs w:val="20"/>
                <w:lang w:val="hu-HU" w:eastAsia="en-US" w:bidi="ar-SA"/>
              </w:rPr>
              <w:t>pl. max 15 pont</w:t>
            </w:r>
          </w:p>
        </w:tc>
        <w:tc>
          <w:tcPr>
            <w:tcW w:w="2125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hanging="851" w:left="851"/>
              <w:jc w:val="both"/>
              <w:rPr>
                <w:i/>
                <w:i/>
                <w:iCs/>
                <w:color w:themeColor="accent4" w:val="808080"/>
              </w:rPr>
            </w:pPr>
            <w:r>
              <w:rPr>
                <w:rFonts w:eastAsia="" w:cs=""/>
                <w:i/>
                <w:iCs/>
                <w:color w:themeColor="accent4" w:val="808080"/>
                <w:kern w:val="0"/>
                <w:sz w:val="20"/>
                <w:szCs w:val="20"/>
                <w:lang w:val="hu-HU" w:eastAsia="en-US" w:bidi="ar-SA"/>
              </w:rPr>
              <w:t>pl. 20 %</w:t>
            </w:r>
          </w:p>
        </w:tc>
      </w:tr>
    </w:tbl>
    <w:p>
      <w:pPr>
        <w:pStyle w:val="Normal"/>
        <w:ind w:hanging="851" w:left="1559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hanging="851" w:left="851"/>
        <w:rPr/>
      </w:pPr>
      <w:r>
        <w:rPr>
          <w:rStyle w:val="SubtleEmphasis"/>
          <w:b/>
          <w:bCs/>
        </w:rPr>
        <w:t>Pótlási lehetőségek módja, típusa</w:t>
      </w:r>
      <w:r>
        <w:rPr/>
        <w:t xml:space="preserve"> </w:t>
      </w:r>
      <w:r>
        <w:rPr>
          <w:sz w:val="16"/>
          <w:szCs w:val="16"/>
        </w:rPr>
        <w:t>(PTE TVSz 47§(4))</w:t>
      </w:r>
    </w:p>
    <w:p>
      <w:pPr>
        <w:pStyle w:val="Normal"/>
        <w:ind w:left="708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>
      <w:pPr>
        <w:pStyle w:val="Normal"/>
        <w:shd w:val="clear" w:color="auto" w:fill="DFDFDF" w:themeFill="background2" w:themeFillShade="e6"/>
        <w:rPr/>
      </w:pPr>
      <w:r>
        <w:rPr/>
        <w:t>…</w:t>
      </w:r>
    </w:p>
    <w:p>
      <w:pPr>
        <w:pStyle w:val="Normal"/>
        <w:rPr/>
      </w:pPr>
      <w:r>
        <w:rPr>
          <w:b/>
        </w:rPr>
        <w:t>Pótlási lehetőségek:</w:t>
      </w:r>
    </w:p>
    <w:p>
      <w:pPr>
        <w:pStyle w:val="Normal"/>
        <w:rPr/>
      </w:pPr>
      <w:r>
        <w:rPr/>
        <w:t>Sikertelen vagy meg nem írt témazáró dolgozatok pótlására a 14. – 15. héten alkalmat biztosítunk.</w:t>
      </w:r>
    </w:p>
    <w:p>
      <w:pPr>
        <w:pStyle w:val="Normal"/>
        <w:shd w:val="clear" w:color="auto" w:fill="DFDFDF" w:themeFill="background2" w:themeFillShade="e6"/>
        <w:rPr/>
      </w:pPr>
      <w:r>
        <w:rPr/>
        <w:t>A hallgató a vizsgaidőszak második hetének végéig egy alkalommal a sikertelen tmazáró dolgozatait pótolhatja, amennyiben az aláírás egyéb feltételeit a szorgalmi időszakban</w:t>
      </w:r>
    </w:p>
    <w:p>
      <w:pPr>
        <w:pStyle w:val="Normal"/>
        <w:shd w:val="clear" w:color="auto" w:fill="DFDFDF" w:themeFill="background2" w:themeFillShade="e6"/>
        <w:rPr/>
      </w:pPr>
      <w:r>
        <w:rPr/>
      </w:r>
    </w:p>
    <w:p>
      <w:pPr>
        <w:pStyle w:val="Normal"/>
        <w:ind w:hanging="851" w:left="1559"/>
        <w:rPr>
          <w:rStyle w:val="SubtleEmphasis"/>
          <w:b/>
          <w:bCs/>
        </w:rPr>
      </w:pPr>
      <w:r>
        <w:rPr>
          <w:b/>
          <w:bCs/>
        </w:rPr>
      </w:r>
    </w:p>
    <w:p>
      <w:pPr>
        <w:pStyle w:val="Normal"/>
        <w:ind w:hanging="851" w:left="851"/>
        <w:rPr>
          <w:rStyle w:val="SubtleEmphasis"/>
          <w:b/>
          <w:bCs/>
        </w:rPr>
      </w:pPr>
      <w:r>
        <w:rPr>
          <w:rStyle w:val="SubtleEmphasis"/>
          <w:b/>
          <w:bCs/>
        </w:rPr>
        <w:t xml:space="preserve">Az érdemjegy kialakításának módja %-os bontásban </w:t>
      </w:r>
    </w:p>
    <w:p>
      <w:pPr>
        <w:pStyle w:val="Normal"/>
        <w:ind w:hanging="851" w:left="1559"/>
        <w:rPr>
          <w:rStyle w:val="SubtleEmphasis"/>
          <w:sz w:val="16"/>
          <w:szCs w:val="16"/>
        </w:rPr>
      </w:pPr>
      <w:r>
        <w:rPr>
          <w:rStyle w:val="SubtleEmphasis"/>
          <w:sz w:val="16"/>
          <w:szCs w:val="16"/>
        </w:rPr>
        <w:t>Az összesített teljesítmény alapján az alábbi szerint.</w:t>
      </w:r>
    </w:p>
    <w:p>
      <w:pPr>
        <w:pStyle w:val="Heading6"/>
        <w:rPr/>
      </w:pPr>
      <w:r>
        <w:rPr/>
      </w:r>
    </w:p>
    <w:tbl>
      <w:tblPr>
        <w:tblStyle w:val="GridTableLight"/>
        <w:tblW w:w="5245" w:type="dxa"/>
        <w:jc w:val="left"/>
        <w:tblInd w:w="1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6"/>
        <w:gridCol w:w="3548"/>
      </w:tblGrid>
      <w:tr>
        <w:trPr/>
        <w:tc>
          <w:tcPr>
            <w:tcW w:w="16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hanging="851" w:left="851"/>
              <w:jc w:val="center"/>
              <w:rPr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Érdemjegy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hanging="851" w:left="851"/>
              <w:jc w:val="center"/>
              <w:rPr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0"/>
                <w:lang w:val="hu-HU" w:eastAsia="en-US" w:bidi="ar-SA"/>
              </w:rPr>
              <w:t>Teljesítmény %-ban kifejezve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hanging="851" w:left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jeles (5)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hanging="851" w:left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85 % …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hanging="851" w:left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jó (4)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hanging="851" w:left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71 % ... 85 %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hanging="851" w:left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közepes (3)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hanging="851" w:left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61 % ... 70 %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hanging="851" w:left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elégséges (2)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hanging="851" w:left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50 % ... 60 %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hanging="851" w:left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elégtelen (1)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hanging="851" w:left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50 % alatt</w:t>
            </w:r>
          </w:p>
        </w:tc>
      </w:tr>
    </w:tbl>
    <w:p>
      <w:pPr>
        <w:pStyle w:val="Normal"/>
        <w:ind w:hanging="851" w:left="1559"/>
        <w:rPr/>
      </w:pPr>
      <w:r>
        <w:rPr/>
        <w:t>Az egyes érdemjegyeknél megadott alsó határérték már az adott érdemjegyhez tartozik.</w:t>
      </w:r>
    </w:p>
    <w:p>
      <w:pPr>
        <w:pStyle w:val="IntenseQuote"/>
        <w:ind w:hanging="1440" w:left="1440" w:right="1440"/>
        <w:rPr>
          <w:sz w:val="22"/>
          <w:szCs w:val="22"/>
        </w:rPr>
      </w:pPr>
      <w:r>
        <w:rPr>
          <w:sz w:val="22"/>
          <w:szCs w:val="22"/>
        </w:rPr>
        <w:t xml:space="preserve">Vizsgával záruló tantárgy </w:t>
      </w:r>
    </w:p>
    <w:p>
      <w:pPr>
        <w:pStyle w:val="Normal"/>
        <w:ind w:hanging="851" w:left="1559"/>
        <w:rPr>
          <w:rStyle w:val="SubtleEmphasis"/>
          <w:b/>
          <w:bCs/>
        </w:rPr>
      </w:pPr>
      <w:r>
        <w:rPr>
          <w:b/>
          <w:bCs/>
        </w:rPr>
      </w:r>
    </w:p>
    <w:p>
      <w:pPr>
        <w:pStyle w:val="Normal"/>
        <w:ind w:hanging="851" w:left="851"/>
        <w:rPr>
          <w:rStyle w:val="SubtleEmphasis"/>
          <w:b/>
          <w:bCs/>
        </w:rPr>
      </w:pPr>
      <w:r>
        <w:rPr>
          <w:rStyle w:val="SubtleEmphasis"/>
          <w:b/>
          <w:bCs/>
        </w:rPr>
        <w:t xml:space="preserve">Félévközi ellenőrzések, teljesítményértékelések és részarányuk a vizsgára bocsájtás feltételének minősítésben </w:t>
      </w:r>
    </w:p>
    <w:p>
      <w:pPr>
        <w:pStyle w:val="Normal"/>
        <w:ind w:hanging="851" w:left="1559"/>
        <w:rPr>
          <w:rStyle w:val="SubtleEmphasis"/>
          <w:b/>
          <w:bCs/>
          <w:sz w:val="16"/>
          <w:szCs w:val="16"/>
        </w:rPr>
      </w:pPr>
      <w:r>
        <w:rPr>
          <w:rStyle w:val="SubtleEmphasis"/>
          <w:sz w:val="16"/>
          <w:szCs w:val="16"/>
        </w:rPr>
        <w:t>(A táblázat példái törlendők.)</w:t>
      </w:r>
    </w:p>
    <w:tbl>
      <w:tblPr>
        <w:tblStyle w:val="GridTable1Light"/>
        <w:tblW w:w="8500" w:type="dxa"/>
        <w:jc w:val="left"/>
        <w:tblInd w:w="7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68"/>
        <w:gridCol w:w="1648"/>
        <w:gridCol w:w="19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6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851" w:left="851"/>
              <w:jc w:val="center"/>
              <w:rPr>
                <w:b w:val="false"/>
                <w:bCs w:val="false"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Típus</w:t>
            </w:r>
          </w:p>
        </w:tc>
        <w:tc>
          <w:tcPr>
            <w:tcW w:w="1648" w:type="dxa"/>
            <w:tcBorders>
              <w:bottom w:val="single" w:sz="12" w:space="0" w:color="666666"/>
            </w:tcBorders>
            <w:vAlign w:val="center"/>
          </w:tcPr>
          <w:p>
            <w:pPr>
              <w:pStyle w:val="Normal"/>
              <w:widowControl/>
              <w:spacing w:before="0" w:after="0"/>
              <w:ind w:hanging="851" w:left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Cs w:val="false"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Értékelés</w:t>
            </w:r>
          </w:p>
        </w:tc>
        <w:tc>
          <w:tcPr>
            <w:tcW w:w="1984" w:type="dxa"/>
            <w:tcBorders>
              <w:bottom w:val="single" w:sz="12" w:space="0" w:color="666666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Cs w:val="false"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 xml:space="preserve">Részarány </w:t>
            </w:r>
            <w:bookmarkStart w:id="0" w:name="_Hlk108820255"/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a vizsgára bocsájtás feltételének minősítésben</w:t>
            </w:r>
            <w:bookmarkEnd w:id="0"/>
          </w:p>
        </w:tc>
      </w:tr>
      <w:tr>
        <w:trPr/>
        <w:tc>
          <w:tcPr>
            <w:tcW w:w="486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FDFDF" w:themeFill="background2" w:themeFillShade="e6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270" w:left="315"/>
              <w:contextualSpacing/>
              <w:jc w:val="both"/>
              <w:rPr>
                <w:i/>
                <w:i/>
                <w:iCs/>
                <w:color w:themeColor="accent4" w:val="808080"/>
              </w:rPr>
            </w:pPr>
            <w:r>
              <w:rPr>
                <w:rFonts w:eastAsia="" w:cs=""/>
                <w:b/>
                <w:bCs/>
                <w:i/>
                <w:iCs/>
                <w:color w:themeColor="accent4" w:val="808080"/>
                <w:kern w:val="0"/>
                <w:sz w:val="20"/>
                <w:szCs w:val="20"/>
                <w:lang w:val="hu-HU" w:eastAsia="en-US" w:bidi="ar-SA"/>
              </w:rPr>
              <w:t>pl.: 1. ZH</w:t>
            </w:r>
          </w:p>
        </w:tc>
        <w:tc>
          <w:tcPr>
            <w:tcW w:w="164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hanging="851" w:left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themeColor="accent4" w:val="808080"/>
              </w:rPr>
            </w:pPr>
            <w:r>
              <w:rPr>
                <w:rFonts w:eastAsia="" w:cs=""/>
                <w:i/>
                <w:iCs/>
                <w:color w:themeColor="accent4" w:val="808080"/>
                <w:kern w:val="0"/>
                <w:sz w:val="20"/>
                <w:szCs w:val="20"/>
                <w:lang w:val="hu-HU" w:eastAsia="en-US" w:bidi="ar-SA"/>
              </w:rPr>
              <w:t>pl. max 20 pont</w:t>
            </w:r>
          </w:p>
        </w:tc>
        <w:tc>
          <w:tcPr>
            <w:tcW w:w="1984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hanging="851" w:left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themeColor="accent4" w:val="808080"/>
              </w:rPr>
            </w:pPr>
            <w:r>
              <w:rPr>
                <w:rFonts w:eastAsia="" w:cs=""/>
                <w:i/>
                <w:iCs/>
                <w:color w:themeColor="accent4" w:val="808080"/>
                <w:kern w:val="0"/>
                <w:sz w:val="20"/>
                <w:szCs w:val="20"/>
                <w:lang w:val="hu-HU" w:eastAsia="en-US" w:bidi="ar-SA"/>
              </w:rPr>
              <w:t>pl. 20 %</w:t>
            </w:r>
          </w:p>
        </w:tc>
      </w:tr>
      <w:tr>
        <w:trPr/>
        <w:tc>
          <w:tcPr>
            <w:tcW w:w="486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FDFDF" w:themeFill="background2" w:themeFillShade="e6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315" w:left="315"/>
              <w:contextualSpacing/>
              <w:jc w:val="both"/>
              <w:rPr>
                <w:i/>
                <w:i/>
                <w:iCs/>
                <w:color w:themeColor="accent4" w:val="808080"/>
              </w:rPr>
            </w:pPr>
            <w:r>
              <w:rPr>
                <w:rFonts w:eastAsia="" w:cs=""/>
                <w:b/>
                <w:bCs/>
                <w:i/>
                <w:iCs/>
                <w:color w:themeColor="accent4" w:val="808080"/>
                <w:kern w:val="0"/>
                <w:sz w:val="20"/>
                <w:szCs w:val="20"/>
                <w:lang w:val="hu-HU" w:eastAsia="en-US" w:bidi="ar-SA"/>
              </w:rPr>
              <w:t>pl.: 2. ZH</w:t>
            </w:r>
          </w:p>
        </w:tc>
        <w:tc>
          <w:tcPr>
            <w:tcW w:w="164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hanging="851" w:left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themeColor="accent4" w:val="808080"/>
              </w:rPr>
            </w:pPr>
            <w:r>
              <w:rPr>
                <w:rFonts w:eastAsia="" w:cs=""/>
                <w:i/>
                <w:iCs/>
                <w:color w:themeColor="accent4" w:val="808080"/>
                <w:kern w:val="0"/>
                <w:sz w:val="20"/>
                <w:szCs w:val="20"/>
                <w:lang w:val="hu-HU" w:eastAsia="en-US" w:bidi="ar-SA"/>
              </w:rPr>
              <w:t>pl. max 30 pont</w:t>
            </w:r>
          </w:p>
        </w:tc>
        <w:tc>
          <w:tcPr>
            <w:tcW w:w="1984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hanging="851" w:left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themeColor="accent4" w:val="808080"/>
              </w:rPr>
            </w:pPr>
            <w:r>
              <w:rPr>
                <w:rFonts w:eastAsia="" w:cs=""/>
                <w:i/>
                <w:iCs/>
                <w:color w:themeColor="accent4" w:val="808080"/>
                <w:kern w:val="0"/>
                <w:sz w:val="20"/>
                <w:szCs w:val="20"/>
                <w:lang w:val="hu-HU" w:eastAsia="en-US" w:bidi="ar-SA"/>
              </w:rPr>
              <w:t>pl. 30 %</w:t>
            </w:r>
          </w:p>
        </w:tc>
      </w:tr>
      <w:tr>
        <w:trPr/>
        <w:tc>
          <w:tcPr>
            <w:tcW w:w="486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FDFDF" w:themeFill="background2" w:themeFillShade="e6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315" w:left="315"/>
              <w:contextualSpacing/>
              <w:jc w:val="both"/>
              <w:rPr>
                <w:i/>
                <w:i/>
                <w:iCs/>
                <w:color w:themeColor="accent4" w:val="808080"/>
              </w:rPr>
            </w:pPr>
            <w:r>
              <w:rPr>
                <w:rFonts w:eastAsia="" w:cs=""/>
                <w:b/>
                <w:bCs/>
                <w:i/>
                <w:iCs/>
                <w:color w:themeColor="accent4" w:val="808080"/>
                <w:kern w:val="0"/>
                <w:sz w:val="20"/>
                <w:szCs w:val="20"/>
                <w:lang w:val="hu-HU" w:eastAsia="en-US" w:bidi="ar-SA"/>
              </w:rPr>
              <w:t>pl.: beadandó hf (projekt dokumentáció)</w:t>
            </w:r>
          </w:p>
        </w:tc>
        <w:tc>
          <w:tcPr>
            <w:tcW w:w="164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hanging="851" w:left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themeColor="accent4" w:val="808080"/>
              </w:rPr>
            </w:pPr>
            <w:r>
              <w:rPr>
                <w:rFonts w:eastAsia="" w:cs=""/>
                <w:i/>
                <w:iCs/>
                <w:color w:themeColor="accent4" w:val="808080"/>
                <w:kern w:val="0"/>
                <w:sz w:val="20"/>
                <w:szCs w:val="20"/>
                <w:lang w:val="hu-HU" w:eastAsia="en-US" w:bidi="ar-SA"/>
              </w:rPr>
              <w:t>pl. max 30 pont</w:t>
            </w:r>
          </w:p>
        </w:tc>
        <w:tc>
          <w:tcPr>
            <w:tcW w:w="1984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hanging="851" w:left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themeColor="accent4" w:val="808080"/>
              </w:rPr>
            </w:pPr>
            <w:r>
              <w:rPr>
                <w:rFonts w:eastAsia="" w:cs=""/>
                <w:i/>
                <w:iCs/>
                <w:color w:themeColor="accent4" w:val="808080"/>
                <w:kern w:val="0"/>
                <w:sz w:val="20"/>
                <w:szCs w:val="20"/>
                <w:lang w:val="hu-HU" w:eastAsia="en-US" w:bidi="ar-SA"/>
              </w:rPr>
              <w:t>pl. 30 %</w:t>
            </w:r>
          </w:p>
        </w:tc>
      </w:tr>
      <w:tr>
        <w:trPr/>
        <w:tc>
          <w:tcPr>
            <w:tcW w:w="486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FDFDF" w:themeFill="background2" w:themeFillShade="e6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315" w:left="315"/>
              <w:contextualSpacing/>
              <w:jc w:val="both"/>
              <w:rPr>
                <w:i/>
                <w:i/>
                <w:iCs/>
                <w:color w:themeColor="accent4" w:val="808080"/>
              </w:rPr>
            </w:pPr>
            <w:r>
              <w:rPr>
                <w:rFonts w:eastAsia="" w:cs=""/>
                <w:b/>
                <w:bCs/>
                <w:i/>
                <w:iCs/>
                <w:color w:themeColor="accent4" w:val="808080"/>
                <w:kern w:val="0"/>
                <w:sz w:val="20"/>
                <w:szCs w:val="20"/>
                <w:lang w:val="hu-HU" w:eastAsia="en-US" w:bidi="ar-SA"/>
              </w:rPr>
              <w:t>…</w:t>
            </w:r>
          </w:p>
        </w:tc>
        <w:tc>
          <w:tcPr>
            <w:tcW w:w="164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hanging="851" w:left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themeColor="accent4" w:val="808080"/>
              </w:rPr>
            </w:pPr>
            <w:r>
              <w:rPr>
                <w:rFonts w:eastAsia="" w:cs=""/>
                <w:i/>
                <w:iCs/>
                <w:color w:themeColor="accent4" w:val="808080"/>
                <w:kern w:val="0"/>
                <w:sz w:val="20"/>
                <w:szCs w:val="20"/>
                <w:lang w:val="hu-HU" w:eastAsia="en-US" w:bidi="ar-SA"/>
              </w:rPr>
              <w:t>pl. max 15 pont</w:t>
            </w:r>
          </w:p>
        </w:tc>
        <w:tc>
          <w:tcPr>
            <w:tcW w:w="1984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/>
              <w:spacing w:before="0" w:after="0"/>
              <w:ind w:hanging="851" w:left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iCs/>
                <w:color w:themeColor="accent4" w:val="808080"/>
              </w:rPr>
            </w:pPr>
            <w:r>
              <w:rPr>
                <w:rFonts w:eastAsia="" w:cs=""/>
                <w:i/>
                <w:iCs/>
                <w:color w:themeColor="accent4" w:val="808080"/>
                <w:kern w:val="0"/>
                <w:sz w:val="20"/>
                <w:szCs w:val="20"/>
                <w:lang w:val="hu-HU" w:eastAsia="en-US" w:bidi="ar-SA"/>
              </w:rPr>
              <w:t>pl. 20 %</w:t>
            </w:r>
          </w:p>
        </w:tc>
      </w:tr>
    </w:tbl>
    <w:p>
      <w:pPr>
        <w:pStyle w:val="Normal"/>
        <w:ind w:left="426"/>
        <w:rPr>
          <w:rStyle w:val="SubtleEmphasis"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  <w:i/>
          <w:i/>
          <w:iCs/>
        </w:rPr>
      </w:pPr>
      <w:r>
        <w:rPr>
          <w:rStyle w:val="SubtleEmphasis"/>
          <w:b/>
          <w:bCs/>
        </w:rPr>
        <w:t>Az aláírás megszerzésének feltétele</w:t>
      </w:r>
      <w:r>
        <w:rPr>
          <w:b/>
          <w:bCs/>
          <w:i/>
          <w:iCs/>
        </w:rPr>
        <w:t xml:space="preserve"> </w:t>
      </w:r>
    </w:p>
    <w:p>
      <w:pPr>
        <w:pStyle w:val="Normal"/>
        <w:ind w:hanging="142" w:left="851"/>
        <w:rPr>
          <w:rStyle w:val="SubtleEmphasis"/>
          <w:sz w:val="16"/>
          <w:szCs w:val="16"/>
        </w:rPr>
      </w:pPr>
      <w:r>
        <w:rPr>
          <w:sz w:val="16"/>
          <w:szCs w:val="16"/>
        </w:rPr>
        <w:t>(Pl.:  50%-os évközi minősítés.)</w:t>
      </w:r>
    </w:p>
    <w:p>
      <w:pPr>
        <w:pStyle w:val="Normal"/>
        <w:shd w:val="clear" w:color="auto" w:fill="DFDFDF" w:themeFill="background2" w:themeFillShade="e6"/>
        <w:rPr/>
      </w:pPr>
      <w:r>
        <w:rPr/>
        <w:t>…</w:t>
      </w:r>
    </w:p>
    <w:p>
      <w:pPr>
        <w:pStyle w:val="Normal"/>
        <w:shd w:val="clear" w:color="auto" w:fill="DFDFDF" w:themeFill="background2" w:themeFillShade="e6"/>
        <w:rPr/>
      </w:pPr>
      <w:r>
        <w:rPr/>
        <w:t>A ZH elégséges szintű teljesítése</w:t>
      </w:r>
    </w:p>
    <w:p>
      <w:pPr>
        <w:pStyle w:val="Normal"/>
        <w:shd w:val="clear" w:color="auto" w:fill="DFDFDF" w:themeFill="background2" w:themeFillShade="e6"/>
        <w:rPr/>
      </w:pPr>
      <w:r>
        <w:rPr/>
      </w:r>
    </w:p>
    <w:p>
      <w:pPr>
        <w:pStyle w:val="Normal"/>
        <w:ind w:left="426"/>
        <w:rPr>
          <w:rStyle w:val="SubtleEmphasis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rStyle w:val="SubtleEmphasis"/>
          <w:b/>
          <w:bCs/>
        </w:rPr>
        <w:t>Pótlási lehetőségek az aláírás megszerzéséhez</w:t>
      </w:r>
      <w:r>
        <w:rPr>
          <w:b/>
          <w:bCs/>
        </w:rPr>
        <w:t xml:space="preserve"> </w:t>
      </w:r>
      <w:r>
        <w:rPr>
          <w:sz w:val="16"/>
          <w:szCs w:val="16"/>
        </w:rPr>
        <w:t>(PTE TVSz 50§(2))</w:t>
      </w:r>
    </w:p>
    <w:p>
      <w:pPr>
        <w:pStyle w:val="Normal"/>
        <w:ind w:left="709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A javításra, ismétlésre és pótlásra vonatkozó különös szabályokat a TVSZ általános szabályaival együttesen kell értelmezni és alkalmazni: </w:t>
      </w:r>
    </w:p>
    <w:p>
      <w:pPr>
        <w:pStyle w:val="Normal"/>
        <w:ind w:left="709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>
      <w:pPr>
        <w:pStyle w:val="Normal"/>
        <w:shd w:val="clear" w:color="auto" w:fill="DFDFDF" w:themeFill="background2" w:themeFillShade="e6"/>
        <w:rPr/>
      </w:pPr>
      <w:r>
        <w:rPr/>
        <w:t>…</w:t>
      </w:r>
    </w:p>
    <w:p>
      <w:pPr>
        <w:pStyle w:val="Normal"/>
        <w:shd w:val="clear" w:color="auto" w:fill="DFDFDF" w:themeFill="background2" w:themeFillShade="e6"/>
        <w:rPr/>
      </w:pPr>
      <w:r>
        <w:rPr/>
        <w:t>Pótlás a 15. héten és a vizsgaidőszak első hetében</w:t>
      </w:r>
    </w:p>
    <w:p>
      <w:pPr>
        <w:pStyle w:val="Normal"/>
        <w:ind w:left="708"/>
        <w:rPr/>
      </w:pPr>
      <w:r>
        <w:rPr/>
      </w:r>
    </w:p>
    <w:p>
      <w:pPr>
        <w:pStyle w:val="Normal"/>
        <w:rPr>
          <w:i/>
          <w:i/>
          <w:iCs/>
          <w:shd w:fill="FFFF00" w:val="clear"/>
        </w:rPr>
      </w:pPr>
      <w:r>
        <w:rPr>
          <w:b/>
          <w:bCs/>
          <w:i/>
          <w:iCs/>
        </w:rPr>
        <w:t>Vizsga típusa</w:t>
      </w:r>
      <w:r>
        <w:rPr>
          <w:i/>
          <w:iCs/>
        </w:rPr>
        <w:t xml:space="preserve"> (írásbeli, szóbeli): </w:t>
      </w:r>
      <w:r>
        <w:rPr>
          <w:i/>
          <w:iCs/>
          <w:shd w:fill="FFFF00" w:val="clear"/>
        </w:rPr>
        <w:t>írásbeli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</w:rPr>
        <w:t xml:space="preserve">A vizsga minimum  </w:t>
      </w:r>
      <w:r>
        <w:rPr>
          <w:b/>
          <w:bCs/>
          <w:i/>
          <w:iCs/>
          <w:shd w:fill="DFDFDF" w:val="clear"/>
        </w:rPr>
        <w:t xml:space="preserve"> …      50</w:t>
      </w:r>
      <w:r>
        <w:rPr>
          <w:b/>
          <w:bCs/>
          <w:i/>
          <w:iCs/>
        </w:rPr>
        <w:t>%-os teljesítés esetén sikeres.</w:t>
      </w:r>
      <w:bookmarkStart w:id="1" w:name="_GoBack"/>
      <w:bookmarkEnd w:id="1"/>
    </w:p>
    <w:p>
      <w:pPr>
        <w:pStyle w:val="Normal"/>
        <w:rPr>
          <w:rStyle w:val="SubtleEmphasis"/>
          <w:b/>
          <w:bCs/>
        </w:rPr>
      </w:pPr>
      <w:r>
        <w:rPr>
          <w:b/>
          <w:bCs/>
        </w:rPr>
      </w:r>
    </w:p>
    <w:p>
      <w:pPr>
        <w:pStyle w:val="Normal"/>
        <w:keepNext w:val="true"/>
        <w:ind w:hanging="851" w:left="851"/>
        <w:rPr>
          <w:rStyle w:val="SubtleEmphasis"/>
          <w:b/>
          <w:bCs/>
        </w:rPr>
      </w:pPr>
      <w:r>
        <w:rPr>
          <w:rStyle w:val="SubtleEmphasis"/>
          <w:b/>
          <w:bCs/>
        </w:rPr>
        <w:t xml:space="preserve">Az érdemjegy kialakítása </w:t>
      </w:r>
      <w:r>
        <w:rPr>
          <w:rStyle w:val="SubtleEmphasis"/>
          <w:sz w:val="16"/>
          <w:szCs w:val="16"/>
        </w:rPr>
        <w:t>(TVSz 47§ (3))</w:t>
      </w:r>
    </w:p>
    <w:p>
      <w:pPr>
        <w:pStyle w:val="Normal"/>
        <w:ind w:left="708"/>
        <w:rPr/>
      </w:pPr>
      <w:r>
        <w:rPr>
          <w:b/>
          <w:bCs/>
          <w:i/>
          <w:iCs/>
          <w:shd w:fill="DFDFDF" w:val="clear"/>
        </w:rPr>
        <w:t xml:space="preserve">   …      </w:t>
      </w:r>
      <w:r>
        <w:rPr>
          <w:shd w:fill="DFDFDF" w:val="clear"/>
        </w:rPr>
        <w:t xml:space="preserve"> </w:t>
      </w:r>
      <w:r>
        <w:rPr/>
        <w:t xml:space="preserve">%-ban az évközi teljesítmény, </w:t>
      </w:r>
      <w:r>
        <w:rPr>
          <w:b/>
          <w:bCs/>
          <w:i/>
          <w:iCs/>
          <w:shd w:fill="DFDFDF" w:val="clear"/>
        </w:rPr>
        <w:t xml:space="preserve">  …       </w:t>
      </w:r>
      <w:r>
        <w:rPr/>
        <w:t xml:space="preserve"> %-ban a vizsgán nyújtott teljesítmény alapján történik.</w:t>
      </w:r>
    </w:p>
    <w:p>
      <w:pPr>
        <w:pStyle w:val="Normal"/>
        <w:ind w:hanging="851" w:left="1559"/>
        <w:rPr>
          <w:rStyle w:val="SubtleEmphasis"/>
          <w:b/>
          <w:bCs/>
        </w:rPr>
      </w:pPr>
      <w:r>
        <w:rPr>
          <w:b/>
          <w:bCs/>
        </w:rPr>
      </w:r>
    </w:p>
    <w:p>
      <w:pPr>
        <w:pStyle w:val="Normal"/>
        <w:ind w:hanging="851" w:left="851"/>
        <w:rPr>
          <w:rStyle w:val="SubtleEmphasis"/>
          <w:b/>
          <w:bCs/>
        </w:rPr>
      </w:pPr>
      <w:r>
        <w:rPr>
          <w:rStyle w:val="SubtleEmphasis"/>
          <w:b/>
          <w:bCs/>
        </w:rPr>
        <w:t>Az érdemjegy megállapítása az összesített teljesítmény alapján %-os bontásban</w:t>
      </w:r>
    </w:p>
    <w:p>
      <w:pPr>
        <w:pStyle w:val="Normal"/>
        <w:ind w:hanging="851" w:left="851"/>
        <w:rPr>
          <w:rStyle w:val="SubtleEmphasis"/>
          <w:b/>
          <w:bCs/>
        </w:rPr>
      </w:pPr>
      <w:r>
        <w:rPr>
          <w:b/>
          <w:bCs/>
        </w:rPr>
      </w:r>
    </w:p>
    <w:tbl>
      <w:tblPr>
        <w:tblStyle w:val="GridTableLight"/>
        <w:tblW w:w="5245" w:type="dxa"/>
        <w:jc w:val="left"/>
        <w:tblInd w:w="1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6"/>
        <w:gridCol w:w="3548"/>
      </w:tblGrid>
      <w:tr>
        <w:trPr/>
        <w:tc>
          <w:tcPr>
            <w:tcW w:w="16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hanging="851" w:left="851"/>
              <w:jc w:val="center"/>
              <w:rPr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Érdemjegy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hanging="851" w:left="851"/>
              <w:jc w:val="center"/>
              <w:rPr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0"/>
                <w:lang w:val="hu-HU" w:eastAsia="en-US" w:bidi="ar-SA"/>
              </w:rPr>
              <w:t>Teljesítmény %-ban kifejezve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hanging="851" w:left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jeles (5)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hanging="851" w:left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85 % …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hanging="851" w:left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jó (4)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hanging="851" w:left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71 % ... 85 %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hanging="851" w:left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közepes (3)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hanging="851" w:left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61 % ... 70 %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hanging="851" w:left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elégséges (2)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hanging="851" w:left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50 % ... 60 %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before="0" w:after="0"/>
              <w:ind w:hanging="851" w:left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elégtelen (1)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ind w:hanging="851" w:left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50 % alatt</w:t>
            </w:r>
          </w:p>
        </w:tc>
      </w:tr>
    </w:tbl>
    <w:p>
      <w:pPr>
        <w:pStyle w:val="Normal"/>
        <w:ind w:hanging="851" w:left="1559"/>
        <w:rPr/>
      </w:pPr>
      <w:r>
        <w:rPr/>
        <w:t>Az egyes érdemjegyeknél megadott alsó határérték már az adott érdemjegyhez tartozik.</w:t>
      </w:r>
    </w:p>
    <w:p>
      <w:pPr>
        <w:pStyle w:val="Normal"/>
        <w:ind w:left="851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2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Irodalom</w:t>
      </w:r>
    </w:p>
    <w:p>
      <w:pPr>
        <w:pStyle w:val="Normal"/>
        <w:ind w:left="708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Felsorolás fontossági sorrendben. (Neptunban: Oktatás/Tárgyak/Tárgy adatok/Tárgytematika/Irodalom rovat)</w:t>
      </w:r>
    </w:p>
    <w:p>
      <w:pPr>
        <w:pStyle w:val="Normal"/>
        <w:ind w:hanging="851" w:left="1559"/>
        <w:rPr>
          <w:rStyle w:val="SubtleEmphasis"/>
          <w:b/>
          <w:bCs/>
        </w:rPr>
      </w:pPr>
      <w:r>
        <w:rPr>
          <w:b/>
          <w:bCs/>
        </w:rPr>
      </w:r>
    </w:p>
    <w:p>
      <w:pPr>
        <w:pStyle w:val="Heading5"/>
        <w:rPr>
          <w:b/>
          <w:bCs/>
          <w:color w:val="auto"/>
          <w:u w:val="single"/>
          <w:lang w:val="en-US"/>
        </w:rPr>
      </w:pPr>
      <w:r>
        <w:rPr>
          <w:b/>
          <w:bCs/>
          <w:color w:val="auto"/>
          <w:u w:val="single"/>
          <w:lang w:val="en-US"/>
        </w:rPr>
        <w:t>Kötelező irodalom és elérhetősége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[1.] Legfontosabb kötelező irodalom és elérhetősége</w:t>
      </w:r>
    </w:p>
    <w:p>
      <w:pPr>
        <w:pStyle w:val="Normal"/>
        <w:rPr/>
      </w:pPr>
      <w:r>
        <w:rPr>
          <w:rFonts w:cs="Calibri" w:cstheme="minorHAnsi"/>
        </w:rPr>
        <w:t xml:space="preserve">[2.] </w:t>
      </w:r>
      <w:r>
        <w:rPr/>
        <w:t>Kötelező irodalom és elérhetősége</w:t>
      </w:r>
    </w:p>
    <w:p>
      <w:pPr>
        <w:pStyle w:val="Felsorols1"/>
        <w:tabs>
          <w:tab w:val="left" w:pos="720" w:leader="none"/>
          <w:tab w:val="left" w:pos="4305" w:leader="none"/>
        </w:tabs>
        <w:ind w:hanging="0" w:left="0"/>
        <w:rPr/>
      </w:pPr>
      <w:r>
        <w:rPr/>
        <w:t>Ipsits Imre: Villamos automatika elemek</w:t>
        <w:tab/>
      </w:r>
    </w:p>
    <w:p>
      <w:pPr>
        <w:pStyle w:val="Heading5"/>
        <w:rPr>
          <w:rStyle w:val="SubtleEmphasis"/>
          <w:b/>
          <w:bCs/>
        </w:rPr>
      </w:pPr>
      <w:r>
        <w:rPr>
          <w:rStyle w:val="SubtleEmphasis"/>
          <w:b/>
          <w:bCs/>
        </w:rPr>
        <w:t>Elérhetőség: Könyvtár</w:t>
      </w:r>
    </w:p>
    <w:p>
      <w:pPr>
        <w:pStyle w:val="Heading5"/>
        <w:rPr>
          <w:b/>
          <w:bCs/>
          <w:color w:val="auto"/>
          <w:u w:val="single"/>
          <w:lang w:val="en-US"/>
        </w:rPr>
      </w:pPr>
      <w:r>
        <w:rPr>
          <w:b/>
          <w:bCs/>
          <w:color w:val="auto"/>
          <w:u w:val="single"/>
          <w:lang w:val="en-US"/>
        </w:rPr>
        <w:t>Ajánlott irodalom és elérhetősége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[</w:t>
      </w:r>
      <w:r>
        <w:rPr/>
        <w:t>Harkay-Neszveda-Vajda: Automatika, SZIF Universitas Kft., 1998.</w:t>
      </w:r>
      <w:r>
        <w:rPr>
          <w:rFonts w:cs="Calibri" w:cstheme="minorHAnsi"/>
        </w:rPr>
        <w:t>3.] ……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[4.] ……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[5.] ……</w:t>
      </w:r>
    </w:p>
    <w:p>
      <w:pPr>
        <w:pStyle w:val="Normal"/>
        <w:spacing w:before="200" w:after="0"/>
        <w:rPr/>
      </w:pPr>
      <w:r>
        <w:rPr/>
      </w:r>
    </w:p>
    <w:sectPr>
      <w:footerReference w:type="default" r:id="rId2"/>
      <w:type w:val="nextPage"/>
      <w:pgSz w:w="11906" w:h="16838"/>
      <w:pgMar w:left="720" w:right="720" w:gutter="0" w:header="0" w:top="720" w:footer="709" w:bottom="766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788727360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73e0"/>
    <w:pPr>
      <w:widowControl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hu-HU" w:eastAsia="en-US" w:bidi="ar-SA"/>
    </w:rPr>
  </w:style>
  <w:style w:type="paragraph" w:styleId="Heading1">
    <w:name w:val="Heading 1"/>
    <w:basedOn w:val="Normal"/>
    <w:next w:val="Norma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Cmsor5Char"/>
    <w:uiPriority w:val="9"/>
    <w:unhideWhenUsed/>
    <w:qFormat/>
    <w:rsid w:val="00ce73e0"/>
    <w:pPr>
      <w:jc w:val="left"/>
      <w:outlineLvl w:val="4"/>
    </w:pPr>
    <w:rPr>
      <w:smallCaps/>
      <w:color w:themeColor="accent6" w:themeShade="bf" w:val="393939"/>
      <w:spacing w:val="10"/>
      <w:sz w:val="22"/>
      <w:szCs w:val="22"/>
    </w:rPr>
  </w:style>
  <w:style w:type="paragraph" w:styleId="Heading6">
    <w:name w:val="Heading 6"/>
    <w:basedOn w:val="Normal"/>
    <w:next w:val="Normal"/>
    <w:link w:val="Cmsor6Char"/>
    <w:uiPriority w:val="9"/>
    <w:unhideWhenUsed/>
    <w:qFormat/>
    <w:rsid w:val="00ce73e0"/>
    <w:pPr>
      <w:jc w:val="left"/>
      <w:outlineLvl w:val="5"/>
    </w:pPr>
    <w:rPr>
      <w:smallCaps/>
      <w:color w:themeColor="accent6" w:val="4D4D4D"/>
      <w:spacing w:val="5"/>
      <w:sz w:val="22"/>
      <w:szCs w:val="22"/>
    </w:rPr>
  </w:style>
  <w:style w:type="paragraph" w:styleId="Heading7">
    <w:name w:val="Heading 7"/>
    <w:basedOn w:val="Normal"/>
    <w:next w:val="Norma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themeColor="accent6" w:val="4D4D4D"/>
      <w:spacing w:val="10"/>
    </w:rPr>
  </w:style>
  <w:style w:type="paragraph" w:styleId="Heading8">
    <w:name w:val="Heading 8"/>
    <w:basedOn w:val="Normal"/>
    <w:next w:val="Norma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themeColor="accent6" w:themeShade="bf" w:val="393939"/>
    </w:rPr>
  </w:style>
  <w:style w:type="paragraph" w:styleId="Heading9">
    <w:name w:val="Heading 9"/>
    <w:basedOn w:val="Normal"/>
    <w:next w:val="Norma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themeColor="accent6" w:themeShade="80" w:val="2626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bjegyzetszvegChar" w:customStyle="1">
    <w:name w:val="Lábjegyzetszöveg Char"/>
    <w:basedOn w:val="DefaultParagraphFont"/>
    <w:semiHidden/>
    <w:qFormat/>
    <w:rsid w:val="00ad4bc7"/>
    <w:rPr>
      <w:rFonts w:ascii="Times New Roman" w:hAnsi="Times New Roman" w:eastAsia="Times New Roman" w:cs="Times New Roman"/>
      <w:sz w:val="20"/>
      <w:szCs w:val="20"/>
      <w:lang w:eastAsia="hu-HU"/>
    </w:rPr>
  </w:style>
  <w:style w:type="character" w:styleId="Lbjegyzet-karakterek">
    <w:name w:val="Lábjegyzet-karakterek"/>
    <w:semiHidden/>
    <w:qFormat/>
    <w:rsid w:val="00ad4bc7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Cmsor2Char" w:customStyle="1">
    <w:name w:val="Címsor 2 Char"/>
    <w:basedOn w:val="DefaultParagraphFont"/>
    <w:uiPriority w:val="9"/>
    <w:qFormat/>
    <w:rsid w:val="00ce73e0"/>
    <w:rPr>
      <w:smallCaps/>
      <w:spacing w:val="5"/>
      <w:sz w:val="28"/>
      <w:szCs w:val="28"/>
    </w:rPr>
  </w:style>
  <w:style w:type="character" w:styleId="Cmsor3Char" w:customStyle="1">
    <w:name w:val="Címsor 3 Char"/>
    <w:basedOn w:val="DefaultParagraphFont"/>
    <w:uiPriority w:val="9"/>
    <w:qFormat/>
    <w:rsid w:val="00ce73e0"/>
    <w:rPr>
      <w:smallCaps/>
      <w:spacing w:val="5"/>
      <w:sz w:val="24"/>
      <w:szCs w:val="24"/>
    </w:rPr>
  </w:style>
  <w:style w:type="character" w:styleId="Cmsor1Char" w:customStyle="1">
    <w:name w:val="Címsor 1 Char"/>
    <w:basedOn w:val="DefaultParagraphFont"/>
    <w:uiPriority w:val="9"/>
    <w:qFormat/>
    <w:rsid w:val="00ce73e0"/>
    <w:rPr>
      <w:smallCaps/>
      <w:spacing w:val="5"/>
      <w:sz w:val="32"/>
      <w:szCs w:val="32"/>
    </w:rPr>
  </w:style>
  <w:style w:type="character" w:styleId="LfejChar" w:customStyle="1">
    <w:name w:val="Élőfej Char"/>
    <w:basedOn w:val="DefaultParagraphFont"/>
    <w:uiPriority w:val="99"/>
    <w:qFormat/>
    <w:rsid w:val="005f7e4b"/>
    <w:rPr/>
  </w:style>
  <w:style w:type="character" w:styleId="LlbChar" w:customStyle="1">
    <w:name w:val="Élőláb Char"/>
    <w:basedOn w:val="DefaultParagraphFont"/>
    <w:uiPriority w:val="99"/>
    <w:qFormat/>
    <w:rsid w:val="005f7e4b"/>
    <w:rPr/>
  </w:style>
  <w:style w:type="character" w:styleId="Cmsor4Char" w:customStyle="1">
    <w:name w:val="Címsor 4 Char"/>
    <w:basedOn w:val="DefaultParagraphFont"/>
    <w:uiPriority w:val="9"/>
    <w:qFormat/>
    <w:rsid w:val="00ce73e0"/>
    <w:rPr>
      <w:i/>
      <w:iCs/>
      <w:smallCaps/>
      <w:spacing w:val="10"/>
      <w:sz w:val="22"/>
      <w:szCs w:val="22"/>
    </w:rPr>
  </w:style>
  <w:style w:type="character" w:styleId="Cmsor5Char" w:customStyle="1">
    <w:name w:val="Címsor 5 Char"/>
    <w:basedOn w:val="DefaultParagraphFont"/>
    <w:uiPriority w:val="9"/>
    <w:qFormat/>
    <w:rsid w:val="00ce73e0"/>
    <w:rPr>
      <w:smallCaps/>
      <w:color w:themeColor="accent6" w:themeShade="bf" w:val="393939"/>
      <w:spacing w:val="10"/>
      <w:sz w:val="22"/>
      <w:szCs w:val="22"/>
    </w:rPr>
  </w:style>
  <w:style w:type="character" w:styleId="Cmsor6Char" w:customStyle="1">
    <w:name w:val="Címsor 6 Char"/>
    <w:basedOn w:val="DefaultParagraphFont"/>
    <w:uiPriority w:val="9"/>
    <w:qFormat/>
    <w:rsid w:val="00ce73e0"/>
    <w:rPr>
      <w:smallCaps/>
      <w:color w:themeColor="accent6" w:val="4D4D4D"/>
      <w:spacing w:val="5"/>
      <w:sz w:val="22"/>
      <w:szCs w:val="22"/>
    </w:rPr>
  </w:style>
  <w:style w:type="character" w:styleId="Cmsor7Char" w:customStyle="1">
    <w:name w:val="Címsor 7 Char"/>
    <w:basedOn w:val="DefaultParagraphFont"/>
    <w:uiPriority w:val="9"/>
    <w:semiHidden/>
    <w:qFormat/>
    <w:rsid w:val="00ce73e0"/>
    <w:rPr>
      <w:b/>
      <w:bCs/>
      <w:smallCaps/>
      <w:color w:themeColor="accent6" w:val="4D4D4D"/>
      <w:spacing w:val="10"/>
    </w:rPr>
  </w:style>
  <w:style w:type="character" w:styleId="Cmsor8Char" w:customStyle="1">
    <w:name w:val="Címsor 8 Char"/>
    <w:basedOn w:val="DefaultParagraphFont"/>
    <w:uiPriority w:val="9"/>
    <w:semiHidden/>
    <w:qFormat/>
    <w:rsid w:val="00ce73e0"/>
    <w:rPr>
      <w:b/>
      <w:bCs/>
      <w:i/>
      <w:iCs/>
      <w:smallCaps/>
      <w:color w:themeColor="accent6" w:themeShade="bf" w:val="393939"/>
    </w:rPr>
  </w:style>
  <w:style w:type="character" w:styleId="Cmsor9Char" w:customStyle="1">
    <w:name w:val="Címsor 9 Char"/>
    <w:basedOn w:val="DefaultParagraphFont"/>
    <w:uiPriority w:val="9"/>
    <w:semiHidden/>
    <w:qFormat/>
    <w:rsid w:val="00ce73e0"/>
    <w:rPr>
      <w:b/>
      <w:bCs/>
      <w:i/>
      <w:iCs/>
      <w:smallCaps/>
      <w:color w:themeColor="accent6" w:themeShade="80" w:val="262626"/>
    </w:rPr>
  </w:style>
  <w:style w:type="character" w:styleId="CmChar" w:customStyle="1">
    <w:name w:val="Cím Char"/>
    <w:basedOn w:val="DefaultParagraphFont"/>
    <w:uiPriority w:val="10"/>
    <w:qFormat/>
    <w:rsid w:val="00ce73e0"/>
    <w:rPr>
      <w:smallCaps/>
      <w:color w:themeColor="text1" w:themeTint="d9" w:val="262626"/>
      <w:sz w:val="52"/>
      <w:szCs w:val="52"/>
    </w:rPr>
  </w:style>
  <w:style w:type="character" w:styleId="AlcmChar" w:customStyle="1">
    <w:name w:val="Alcím Char"/>
    <w:basedOn w:val="DefaultParagraphFont"/>
    <w:uiPriority w:val="11"/>
    <w:qFormat/>
    <w:rsid w:val="00ce73e0"/>
    <w:rPr>
      <w:rFonts w:ascii="Calibri Light" w:hAnsi="Calibri Light" w:eastAsia="" w:cs="" w:asciiTheme="majorHAnsi" w:cstheme="majorBidi" w:eastAsiaTheme="majorEastAsia" w:hAnsiTheme="majorHAnsi"/>
    </w:rPr>
  </w:style>
  <w:style w:type="character" w:styleId="Strong">
    <w:name w:val="Strong"/>
    <w:uiPriority w:val="22"/>
    <w:qFormat/>
    <w:rsid w:val="00ce73e0"/>
    <w:rPr>
      <w:b/>
      <w:bCs/>
      <w:color w:themeColor="accent6" w:val="4D4D4D"/>
    </w:rPr>
  </w:style>
  <w:style w:type="character" w:styleId="Emphasis">
    <w:name w:val="Emphasis"/>
    <w:uiPriority w:val="20"/>
    <w:qFormat/>
    <w:rsid w:val="00ce73e0"/>
    <w:rPr>
      <w:b/>
      <w:bCs/>
      <w:i/>
      <w:iCs/>
      <w:spacing w:val="10"/>
    </w:rPr>
  </w:style>
  <w:style w:type="character" w:styleId="IdzetChar" w:customStyle="1">
    <w:name w:val="Idézet Char"/>
    <w:basedOn w:val="DefaultParagraphFont"/>
    <w:link w:val="Quote"/>
    <w:uiPriority w:val="29"/>
    <w:qFormat/>
    <w:rsid w:val="00ce73e0"/>
    <w:rPr>
      <w:i/>
      <w:iCs/>
    </w:rPr>
  </w:style>
  <w:style w:type="character" w:styleId="KiemeltidzetChar" w:customStyle="1">
    <w:name w:val="Kiemelt idézet Char"/>
    <w:basedOn w:val="DefaultParagraphFont"/>
    <w:link w:val="IntenseQuote"/>
    <w:uiPriority w:val="30"/>
    <w:qFormat/>
    <w:rsid w:val="00ce73e0"/>
    <w:rPr>
      <w:b/>
      <w:bCs/>
      <w:i/>
      <w:iCs/>
    </w:rPr>
  </w:style>
  <w:style w:type="character" w:styleId="SubtleEmphasis">
    <w:name w:val="Subtle Emphasis"/>
    <w:uiPriority w:val="19"/>
    <w:qFormat/>
    <w:rsid w:val="00ce73e0"/>
    <w:rPr>
      <w:i/>
      <w:iCs/>
    </w:rPr>
  </w:style>
  <w:style w:type="character" w:styleId="IntenseEmphasis">
    <w:name w:val="Intense Emphasis"/>
    <w:uiPriority w:val="21"/>
    <w:qFormat/>
    <w:rsid w:val="00ce73e0"/>
    <w:rPr>
      <w:b/>
      <w:bCs/>
      <w:i/>
      <w:iCs/>
      <w:color w:themeColor="accent6" w:val="4D4D4D"/>
      <w:spacing w:val="10"/>
    </w:rPr>
  </w:style>
  <w:style w:type="character" w:styleId="SubtleReference">
    <w:name w:val="Subtle Reference"/>
    <w:uiPriority w:val="31"/>
    <w:qFormat/>
    <w:rsid w:val="00ce73e0"/>
    <w:rPr>
      <w:b/>
      <w:bCs/>
    </w:rPr>
  </w:style>
  <w:style w:type="character" w:styleId="IntenseReference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73e0"/>
    <w:rPr>
      <w:rFonts w:ascii="Calibri Light" w:hAnsi="Calibri Light" w:eastAsia="" w:cs="" w:asciiTheme="majorHAnsi" w:cstheme="majorBidi" w:eastAsiaTheme="majorEastAsia" w:hAnsiTheme="majorHAnsi"/>
      <w:i/>
      <w:iCs/>
      <w:sz w:val="20"/>
      <w:szCs w:val="20"/>
    </w:rPr>
  </w:style>
  <w:style w:type="character" w:styleId="NincstrkzChar" w:customStyle="1">
    <w:name w:val="Nincs térköz Char"/>
    <w:basedOn w:val="DefaultParagraphFont"/>
    <w:link w:val="NoSpacing"/>
    <w:uiPriority w:val="1"/>
    <w:qFormat/>
    <w:rsid w:val="003a57dc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17094"/>
    <w:rPr>
      <w:sz w:val="16"/>
      <w:szCs w:val="16"/>
    </w:rPr>
  </w:style>
  <w:style w:type="character" w:styleId="JegyzetszvegChar" w:customStyle="1">
    <w:name w:val="Jegyzetszöveg Char"/>
    <w:basedOn w:val="DefaultParagraphFont"/>
    <w:link w:val="Annotationtext"/>
    <w:uiPriority w:val="99"/>
    <w:semiHidden/>
    <w:qFormat/>
    <w:rsid w:val="00c17094"/>
    <w:rPr>
      <w:sz w:val="20"/>
      <w:szCs w:val="20"/>
    </w:rPr>
  </w:style>
  <w:style w:type="character" w:styleId="MegjegyzstrgyaChar" w:customStyle="1">
    <w:name w:val="Megjegyzés tárgya Char"/>
    <w:basedOn w:val="JegyzetszvegChar"/>
    <w:link w:val="Annotationsubject"/>
    <w:uiPriority w:val="99"/>
    <w:semiHidden/>
    <w:qFormat/>
    <w:rsid w:val="00c17094"/>
    <w:rPr>
      <w:b/>
      <w:bCs/>
      <w:sz w:val="20"/>
      <w:szCs w:val="20"/>
    </w:rPr>
  </w:style>
  <w:style w:type="paragraph" w:styleId="Cmsor">
    <w:name w:val="Címsor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a57dc"/>
    <w:pPr>
      <w:spacing w:before="0" w:after="0"/>
      <w:ind w:left="720"/>
      <w:contextualSpacing/>
    </w:pPr>
    <w:rPr/>
  </w:style>
  <w:style w:type="paragraph" w:styleId="FootnoteText">
    <w:name w:val="Footnote Text"/>
    <w:basedOn w:val="Normal"/>
    <w:link w:val="LbjegyzetszvegChar"/>
    <w:semiHidden/>
    <w:rsid w:val="00ad4bc7"/>
    <w:pPr/>
    <w:rPr>
      <w:rFonts w:ascii="Times New Roman" w:hAnsi="Times New Roman" w:eastAsia="Times New Roman" w:cs="Times New Roman"/>
      <w:lang w:eastAsia="hu-HU"/>
    </w:rPr>
  </w:style>
  <w:style w:type="paragraph" w:styleId="Lfejsllb">
    <w:name w:val="Élőfej és élőláb"/>
    <w:basedOn w:val="Normal"/>
    <w:qFormat/>
    <w:pPr/>
    <w:rPr/>
  </w:style>
  <w:style w:type="paragraph" w:styleId="Header">
    <w:name w:val="Header"/>
    <w:basedOn w:val="Normal"/>
    <w:link w:val="LfejChar"/>
    <w:uiPriority w:val="99"/>
    <w:unhideWhenUsed/>
    <w:rsid w:val="005f7e4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LlbChar"/>
    <w:uiPriority w:val="99"/>
    <w:unhideWhenUsed/>
    <w:rsid w:val="005f7e4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Normal"/>
    <w:next w:val="Normal"/>
    <w:uiPriority w:val="35"/>
    <w:semiHidden/>
    <w:unhideWhenUsed/>
    <w:qFormat/>
    <w:rsid w:val="00ce73e0"/>
    <w:pPr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CmChar"/>
    <w:uiPriority w:val="10"/>
    <w:qFormat/>
    <w:rsid w:val="00ce73e0"/>
    <w:pPr>
      <w:pBdr>
        <w:top w:val="single" w:sz="8" w:space="1" w:color="4D4D4D" w:themeColor="accent6"/>
      </w:pBdr>
      <w:spacing w:before="0" w:after="120"/>
      <w:jc w:val="right"/>
    </w:pPr>
    <w:rPr>
      <w:smallCaps/>
      <w:color w:themeColor="text1" w:themeTint="d9" w:val="262626"/>
      <w:sz w:val="52"/>
      <w:szCs w:val="52"/>
    </w:rPr>
  </w:style>
  <w:style w:type="paragraph" w:styleId="Subtitle">
    <w:name w:val="Subtitle"/>
    <w:basedOn w:val="Normal"/>
    <w:next w:val="Normal"/>
    <w:link w:val="AlcmChar"/>
    <w:uiPriority w:val="11"/>
    <w:qFormat/>
    <w:rsid w:val="00ce73e0"/>
    <w:pPr>
      <w:spacing w:before="0" w:after="720"/>
      <w:jc w:val="right"/>
    </w:pPr>
    <w:rPr>
      <w:rFonts w:ascii="Calibri Light" w:hAnsi="Calibri Light" w:eastAsia="" w:cs="" w:asciiTheme="majorHAnsi" w:cstheme="majorBidi" w:eastAsiaTheme="majorEastAsia" w:hAnsiTheme="majorHAnsi"/>
    </w:rPr>
  </w:style>
  <w:style w:type="paragraph" w:styleId="NoSpacing">
    <w:name w:val="No Spacing"/>
    <w:link w:val="NincstrkzChar"/>
    <w:uiPriority w:val="1"/>
    <w:qFormat/>
    <w:rsid w:val="00ce73e0"/>
    <w:pPr>
      <w:widowControl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hu-HU" w:eastAsia="en-US" w:bidi="ar-SA"/>
    </w:rPr>
  </w:style>
  <w:style w:type="paragraph" w:styleId="Quote">
    <w:name w:val="Quote"/>
    <w:basedOn w:val="Normal"/>
    <w:next w:val="Normal"/>
    <w:link w:val="IdzetChar"/>
    <w:uiPriority w:val="29"/>
    <w:qFormat/>
    <w:rsid w:val="00ce73e0"/>
    <w:pPr/>
    <w:rPr>
      <w:i/>
      <w:iCs/>
    </w:rPr>
  </w:style>
  <w:style w:type="paragraph" w:styleId="IntenseQuote">
    <w:name w:val="Intense Quote"/>
    <w:basedOn w:val="Normal"/>
    <w:next w:val="Norma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paragraph" w:styleId="IndexHeading">
    <w:name w:val="Index Heading"/>
    <w:basedOn w:val="Cmsor"/>
    <w:pPr/>
    <w:rPr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73e0"/>
    <w:pPr>
      <w:outlineLvl w:val="9"/>
    </w:pPr>
    <w:rPr/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c17094"/>
    <w:pPr/>
    <w:rPr/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c17094"/>
    <w:pPr/>
    <w:rPr>
      <w:b/>
      <w:bCs/>
    </w:rPr>
  </w:style>
  <w:style w:type="paragraph" w:styleId="Felsorols1" w:customStyle="1">
    <w:name w:val="Felsorolás1"/>
    <w:basedOn w:val="Normal"/>
    <w:qFormat/>
    <w:rsid w:val="00ec43e7"/>
    <w:pPr>
      <w:tabs>
        <w:tab w:val="clear" w:pos="708"/>
        <w:tab w:val="left" w:pos="720" w:leader="none"/>
      </w:tabs>
      <w:suppressAutoHyphens w:val="true"/>
      <w:spacing w:before="0" w:after="60"/>
      <w:ind w:hanging="320" w:left="68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4c2a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B2B2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single" w:color="B2B2B2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customStyle="1" w:styleId="ListTable7Colorful">
    <w:name w:val="List Table 7 Colorful"/>
    <w:basedOn w:val="Normltblzat"/>
    <w:uiPriority w:val="52"/>
    <w:rsid w:val="00e13611"/>
    <w:rPr>
      <w:color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Light">
    <w:name w:val="Grid Table Light"/>
    <w:basedOn w:val="Normltblzat"/>
    <w:uiPriority w:val="40"/>
    <w:rsid w:val="008e1b25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customStyle="1" w:styleId="PlainTable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Szürkeárnyalatos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5A8C0-DA41-4EAB-97E0-15E48BA6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LibreOffice/7.6.4.1$Windows_X86_64 LibreOffice_project/e19e193f88cd6c0525a17fb7a176ed8e6a3e2aa1</Application>
  <AppVersion>15.0000</AppVersion>
  <Pages>4</Pages>
  <Words>918</Words>
  <Characters>6145</Characters>
  <CharactersWithSpaces>6875</CharactersWithSpaces>
  <Paragraphs>214</Paragraphs>
  <Company>PTE PMMK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2024-02-12T16:28:00Z</dcterms:created>
  <dc:creator>JAI</dc:creator>
  <dc:description/>
  <dc:language>hu-HU</dc:language>
  <cp:lastModifiedBy/>
  <dcterms:modified xsi:type="dcterms:W3CDTF">2024-02-12T18:34:57Z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