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2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2023/2024 tavaszi félév</w:t>
      </w:r>
    </w:p>
    <w:tbl>
      <w:tblPr>
        <w:tblStyle w:val="Table1"/>
        <w:tblW w:w="1018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5"/>
        <w:gridCol w:w="6548"/>
        <w:tblGridChange w:id="0">
          <w:tblGrid>
            <w:gridCol w:w="3635"/>
            <w:gridCol w:w="65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Híradástechnika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IVB001MNVM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2/0/1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Villamosmérnöki BSc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nappali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félévközi jegy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tavasz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IVB017 Elektromágneses terek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Villamos Hálózatok Tanszék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Kisander Zsolt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Kisander Zsolt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1F">
      <w:pPr>
        <w:shd w:fill="dfdfdf" w:val="clear"/>
        <w:rPr/>
      </w:pPr>
      <w:r w:rsidDel="00000000" w:rsidR="00000000" w:rsidRPr="00000000">
        <w:rPr>
          <w:rtl w:val="0"/>
        </w:rPr>
        <w:t xml:space="preserve">A tantárgy alapot nyújt a modern kommunikációs rendszerek területén. Ez a kurzus feltárja a digitális kommunikáció mögött álló alapvető elveket és technológiákat, ideértve a modulációt, a kódolást és a továbbítási technikákat is. A hallgatók betekintést nyernek a digitális kommunikációs rendszerek tervezésébe és elemzésébe, lehetővé téve számukra, hogy megértsék az adatok továbbításának bonyolultságát különböző csatornákon keresztül, például vezetékes és vezeték nélküli hálózatokon. A kurzus elméleti koncepciók és gyakorlati kísérletek révén felkészíti a hallgatókat arra, hogy hozzájáruljanak a kommunikációs technológiák fejlesztéséhez és optimalizálásához a mai összekapcsolt világban.</w:t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8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Átfogó Megértés: A kurzus célja, hogy a hallgatók számára átfogó megértést nyújtson a digitális kommunikációs rendszerekről, melyek kulcsfontosságú fogalmakat, elméleteket és technikákat foglalnak magukban.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Analitikus Készségek: Célja a hallgatók analitikus készségeinek fejlesztése, azáltal, hogy megtanítja őket értékelni a digitális kommunikációs rendszerek teljesítményét, kapacitását és megbízhatóságát.</w:t>
      </w:r>
    </w:p>
    <w:p w:rsidR="00000000" w:rsidDel="00000000" w:rsidP="00000000" w:rsidRDefault="00000000" w:rsidRPr="00000000" w14:paraId="0000002B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Gyakorlati Képzettség: A kurzus céljai között szerepel a hallgatók gyakorlati képzettségének felszerelése a digitális kommunikációs rendszerek tervezésében, szimulálásában és megvalósításában, megfelelő eszközök és szoftverek felhasználásával.</w:t>
      </w:r>
    </w:p>
    <w:p w:rsidR="00000000" w:rsidDel="00000000" w:rsidP="00000000" w:rsidRDefault="00000000" w:rsidRPr="00000000" w14:paraId="0000002D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Valós Alkalmazások: Célja a digitális kommunikáció valós életbeli alkalmazásainak illusztrálása, a mobilhálózatoktól és az internet protokolloktól a műholdas kommunikációig és a digitális sugárzáshoz.</w:t>
      </w:r>
    </w:p>
    <w:p w:rsidR="00000000" w:rsidDel="00000000" w:rsidP="00000000" w:rsidRDefault="00000000" w:rsidRPr="00000000" w14:paraId="0000002F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Problémamegoldás és Innováció: Végül, a kurzus ösztönzi a problémamegoldó képességeket és elősegíti az innovatív gondolkodásmódot, felkészítve a hallgatókat az előtörő kihívások kezelésére és hozzájárulva a digitális kommunikáció területén történő fejlesztésekhez.</w:t>
      </w:r>
    </w:p>
    <w:p w:rsidR="00000000" w:rsidDel="00000000" w:rsidP="00000000" w:rsidRDefault="00000000" w:rsidRPr="00000000" w14:paraId="00000031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35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3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Bevezetés a digitális kommunikációba.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Kódolás diszkrét forrásokhoz.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Kvantálás.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Forrás- és csatorna hullámformák. Fourier-transzformációk.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Vektorterek és jeltér.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Csatornák, moduláció és demoduláció.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Véletlen folyamatok és zaj.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Detekció, kódolás és dekódolás.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Vezeték nélküli digitális kommunikáció.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5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b w:val="0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A laborgyakorlatok követik az előadás témáit és számolási feladatokkal támogatják annak megértését.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4D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11"/>
        <w:gridCol w:w="3827"/>
        <w:gridCol w:w="1985"/>
        <w:gridCol w:w="1842"/>
        <w:gridCol w:w="1985"/>
        <w:tblGridChange w:id="0">
          <w:tblGrid>
            <w:gridCol w:w="711"/>
            <w:gridCol w:w="3827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F">
            <w:pPr>
              <w:keepNext w:val="1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ELŐADÁS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1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 hivatkozás, oldalszám (-tól-ig)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Bevezetés a digitális kommunikációba.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Ch. 1.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Kódolás diszkrét forrásokhoz.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Ch. 2.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Kódolás diszkrét forrásokhoz.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Ch. 2.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Kvantálás.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Ch. 3.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Forrás- és csatorna hullámformák. Fourier-transzformációk. Vektorterek és jeltér.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Ch. 4-5.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Forrás- és csatorna hullámformák. Fourier-transzformációk. Vektorterek és jeltér.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Ch. 4-5.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Csatornák, moduláció és demoduláció.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Ch. 6. + Haykin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Csatornák, moduláció és demoduláció.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Ch. 6. + Haykin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Véletlen folyamatok és zaj.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Ch. 7.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Detekció, kódolás és dekódolás.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Ch. 8.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Vezeték nélküli digitális kommunikáció.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Ch. 9.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ZH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írásbeli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Pót ZH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írásbeli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09E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0A1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0A7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0A8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Félévközi jeggyel záruló tantárgy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AF">
            <w:pPr>
              <w:ind w:left="0" w:firstLine="0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beadandó feladat a szorgalmi időszak végéig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0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max 10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2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5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0BE">
      <w:pPr>
        <w:shd w:fill="dfdfdf" w:val="clear"/>
        <w:rPr/>
      </w:pPr>
      <w:r w:rsidDel="00000000" w:rsidR="00000000" w:rsidRPr="00000000">
        <w:rPr>
          <w:rtl w:val="0"/>
        </w:rPr>
        <w:t xml:space="preserve">Pót ZH a szorgalmi időszak utolsó hetén és a vizsgaidőszak első hetén.</w:t>
      </w:r>
    </w:p>
    <w:p w:rsidR="00000000" w:rsidDel="00000000" w:rsidP="00000000" w:rsidRDefault="00000000" w:rsidRPr="00000000" w14:paraId="000000BF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0C1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0C2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0CF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0D2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0D3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[1.] Principles of Digital Communication; ROBERT G. GALLAGER; 2008.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[2.] Introduction to Analog &amp; Digital Communications; SIMON HAYKIN, MICHAEL MOHER; 2007.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Ajánlott irodalom és elérhetősége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[3.] ……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[4.] ……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[5.] ……</w:t>
      </w:r>
    </w:p>
    <w:p w:rsidR="00000000" w:rsidDel="00000000" w:rsidP="00000000" w:rsidRDefault="00000000" w:rsidRPr="00000000" w14:paraId="000000DD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yYIenCQ6iT9WuMBDI45ZF6VWQ==">CgMxLjA4AHIhMUFsWENMZnc1TkVueDg4ZXNzaGsxbXBNcV9ZQ1RxQV8x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2022-08-24T15:15:00Z</dcterms:created>
  <dc:creator>JAI</dc:creator>
</cp:coreProperties>
</file>