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extensions/taskpanes.xml" ContentType="application/vnd.ms-office.webextensiontaskpanes+xml"/>
  <Override PartName="/word/webextensions/webextension1.xml" ContentType="application/vnd.ms-office.webextension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E0" w:rsidRPr="00CE73E0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391648">
        <w:rPr>
          <w:lang w:val="en-US"/>
        </w:rPr>
        <w:t>202</w:t>
      </w:r>
      <w:r w:rsidR="004F136D">
        <w:rPr>
          <w:lang w:val="en-US"/>
        </w:rPr>
        <w:t>4</w:t>
      </w:r>
      <w:r w:rsidR="00647A74" w:rsidRPr="00CE73E0">
        <w:rPr>
          <w:lang w:val="en-US"/>
        </w:rPr>
        <w:t>/</w:t>
      </w:r>
      <w:r w:rsidR="00391648">
        <w:rPr>
          <w:lang w:val="en-US"/>
        </w:rPr>
        <w:t>202</w:t>
      </w:r>
      <w:r w:rsidR="004F136D">
        <w:rPr>
          <w:lang w:val="en-US"/>
        </w:rPr>
        <w:t>5</w:t>
      </w:r>
      <w:r w:rsidRPr="00CE73E0">
        <w:rPr>
          <w:lang w:val="en-US"/>
        </w:rPr>
        <w:t xml:space="preserve"> </w:t>
      </w:r>
      <w:r w:rsidR="00391648">
        <w:rPr>
          <w:lang w:val="en-US"/>
        </w:rPr>
        <w:t>II.</w:t>
      </w:r>
      <w:r w:rsidRPr="00CE73E0">
        <w:rPr>
          <w:lang w:val="en-US"/>
        </w:rPr>
        <w:t xml:space="preserve"> </w:t>
      </w:r>
      <w:proofErr w:type="spellStart"/>
      <w:r w:rsidRPr="00CE73E0">
        <w:rPr>
          <w:lang w:val="en-US"/>
        </w:rPr>
        <w:t>félév</w:t>
      </w:r>
      <w:proofErr w:type="spellEnd"/>
    </w:p>
    <w:tbl>
      <w:tblPr>
        <w:tblStyle w:val="Tblzatrcsos7tarka1"/>
        <w:tblW w:w="4865" w:type="pct"/>
        <w:tblLook w:val="01E0"/>
      </w:tblPr>
      <w:tblGrid>
        <w:gridCol w:w="3711"/>
        <w:gridCol w:w="6683"/>
      </w:tblGrid>
      <w:tr w:rsidR="00637494" w:rsidRPr="00637494" w:rsidTr="00A72E36">
        <w:trPr>
          <w:cnfStyle w:val="100000000000"/>
        </w:trPr>
        <w:tc>
          <w:tcPr>
            <w:cnfStyle w:val="001000000100"/>
            <w:tcW w:w="1785" w:type="pct"/>
          </w:tcPr>
          <w:p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/>
            <w:tcW w:w="3215" w:type="pct"/>
          </w:tcPr>
          <w:p w:rsidR="00AD4BC7" w:rsidRPr="00637494" w:rsidRDefault="00391648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Építészetelmélet I.</w:t>
            </w:r>
          </w:p>
        </w:tc>
      </w:tr>
      <w:tr w:rsidR="00637494" w:rsidRPr="00637494" w:rsidTr="00A72E36">
        <w:trPr>
          <w:cnfStyle w:val="000000100000"/>
        </w:trPr>
        <w:tc>
          <w:tcPr>
            <w:cnfStyle w:val="001000000000"/>
            <w:tcW w:w="1785" w:type="pct"/>
          </w:tcPr>
          <w:p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/>
            <w:tcW w:w="3215" w:type="pct"/>
          </w:tcPr>
          <w:p w:rsidR="00AD4BC7" w:rsidRPr="00391648" w:rsidRDefault="00C936A0" w:rsidP="00B40C80">
            <w:pPr>
              <w:rPr>
                <w:rFonts w:cstheme="minorHAnsi"/>
                <w:color w:val="auto"/>
              </w:rPr>
            </w:pPr>
            <w:r w:rsidRPr="007633AC">
              <w:rPr>
                <w:rFonts w:cstheme="minorHAnsi"/>
                <w:color w:val="auto"/>
                <w:shd w:val="clear" w:color="auto" w:fill="FFFFFF"/>
              </w:rPr>
              <w:t>EPE349MNEM</w:t>
            </w:r>
          </w:p>
        </w:tc>
      </w:tr>
      <w:tr w:rsidR="00637494" w:rsidRPr="00637494" w:rsidTr="00A72E36">
        <w:tc>
          <w:tcPr>
            <w:cnfStyle w:val="001000000000"/>
            <w:tcW w:w="1785" w:type="pct"/>
          </w:tcPr>
          <w:p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/>
            <w:tcW w:w="3215" w:type="pct"/>
          </w:tcPr>
          <w:p w:rsidR="00AD4BC7" w:rsidRPr="00391648" w:rsidRDefault="00391648" w:rsidP="00B40C80">
            <w:pPr>
              <w:rPr>
                <w:rFonts w:cstheme="minorHAnsi"/>
                <w:color w:val="auto"/>
              </w:rPr>
            </w:pPr>
            <w:r w:rsidRPr="00391648">
              <w:rPr>
                <w:rFonts w:cstheme="minorHAnsi"/>
                <w:color w:val="auto"/>
              </w:rPr>
              <w:t>2/0/0</w:t>
            </w:r>
          </w:p>
        </w:tc>
      </w:tr>
      <w:tr w:rsidR="00637494" w:rsidRPr="00637494" w:rsidTr="00A72E36">
        <w:trPr>
          <w:cnfStyle w:val="000000100000"/>
        </w:trPr>
        <w:tc>
          <w:tcPr>
            <w:cnfStyle w:val="001000000000"/>
            <w:tcW w:w="1785" w:type="pct"/>
          </w:tcPr>
          <w:p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/>
            <w:tcW w:w="3215" w:type="pct"/>
          </w:tcPr>
          <w:p w:rsidR="00AD4BC7" w:rsidRPr="00391648" w:rsidRDefault="00391648" w:rsidP="00B40C80">
            <w:pPr>
              <w:rPr>
                <w:rFonts w:cstheme="minorHAnsi"/>
                <w:color w:val="auto"/>
              </w:rPr>
            </w:pPr>
            <w:r w:rsidRPr="00391648">
              <w:rPr>
                <w:rFonts w:cstheme="minorHAnsi"/>
                <w:color w:val="auto"/>
              </w:rPr>
              <w:t>3</w:t>
            </w:r>
          </w:p>
        </w:tc>
      </w:tr>
      <w:tr w:rsidR="00637494" w:rsidRPr="00637494" w:rsidTr="00A72E36">
        <w:tc>
          <w:tcPr>
            <w:cnfStyle w:val="001000000000"/>
            <w:tcW w:w="1785" w:type="pct"/>
          </w:tcPr>
          <w:p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/>
            <w:tcW w:w="3215" w:type="pct"/>
          </w:tcPr>
          <w:p w:rsidR="00AD4BC7" w:rsidRPr="00391648" w:rsidRDefault="00391648" w:rsidP="007633AC">
            <w:pPr>
              <w:rPr>
                <w:rFonts w:cstheme="minorHAnsi"/>
                <w:color w:val="auto"/>
              </w:rPr>
            </w:pPr>
            <w:r w:rsidRPr="00391648">
              <w:rPr>
                <w:rFonts w:cstheme="minorHAnsi"/>
                <w:color w:val="auto"/>
              </w:rPr>
              <w:t>Építészmérnöki osztatlan szak, Építészmérnöki és Építőművész alapképzési szak</w:t>
            </w:r>
          </w:p>
        </w:tc>
      </w:tr>
      <w:tr w:rsidR="00637494" w:rsidRPr="00637494" w:rsidTr="00A72E36">
        <w:trPr>
          <w:cnfStyle w:val="000000100000"/>
        </w:trPr>
        <w:tc>
          <w:tcPr>
            <w:cnfStyle w:val="001000000000"/>
            <w:tcW w:w="1785" w:type="pct"/>
          </w:tcPr>
          <w:p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/>
            <w:tcW w:w="3215" w:type="pct"/>
          </w:tcPr>
          <w:p w:rsidR="00AD4BC7" w:rsidRPr="00391648" w:rsidRDefault="00391648" w:rsidP="00B40C80">
            <w:pPr>
              <w:rPr>
                <w:rFonts w:cstheme="minorHAnsi"/>
                <w:iCs w:val="0"/>
                <w:color w:val="auto"/>
              </w:rPr>
            </w:pPr>
            <w:r w:rsidRPr="00391648">
              <w:rPr>
                <w:rFonts w:cstheme="minorHAnsi"/>
                <w:iCs w:val="0"/>
                <w:color w:val="auto"/>
              </w:rPr>
              <w:t>nappali</w:t>
            </w:r>
          </w:p>
        </w:tc>
      </w:tr>
      <w:tr w:rsidR="00637494" w:rsidRPr="00637494" w:rsidTr="00A72E36">
        <w:tc>
          <w:tcPr>
            <w:cnfStyle w:val="001000000000"/>
            <w:tcW w:w="1785" w:type="pct"/>
          </w:tcPr>
          <w:p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/>
            <w:tcW w:w="3215" w:type="pct"/>
          </w:tcPr>
          <w:p w:rsidR="00AD4BC7" w:rsidRPr="00391648" w:rsidRDefault="00391648" w:rsidP="00B40C80">
            <w:pPr>
              <w:rPr>
                <w:rFonts w:cstheme="minorHAnsi"/>
                <w:color w:val="auto"/>
              </w:rPr>
            </w:pPr>
            <w:r w:rsidRPr="00391648">
              <w:rPr>
                <w:rFonts w:cstheme="minorHAnsi"/>
                <w:color w:val="auto"/>
              </w:rPr>
              <w:t>vizsga (v)</w:t>
            </w:r>
          </w:p>
        </w:tc>
      </w:tr>
      <w:tr w:rsidR="00637494" w:rsidRPr="00637494" w:rsidTr="00A72E36">
        <w:trPr>
          <w:cnfStyle w:val="000000100000"/>
        </w:trPr>
        <w:tc>
          <w:tcPr>
            <w:cnfStyle w:val="001000000000"/>
            <w:tcW w:w="1785" w:type="pct"/>
          </w:tcPr>
          <w:p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/>
            <w:tcW w:w="3215" w:type="pct"/>
          </w:tcPr>
          <w:p w:rsidR="00AD4BC7" w:rsidRPr="00391648" w:rsidRDefault="00391648" w:rsidP="00B40C80">
            <w:pPr>
              <w:rPr>
                <w:rFonts w:cstheme="minorHAnsi"/>
                <w:color w:val="auto"/>
              </w:rPr>
            </w:pPr>
            <w:r w:rsidRPr="00391648">
              <w:rPr>
                <w:rFonts w:cstheme="minorHAnsi"/>
                <w:color w:val="auto"/>
              </w:rPr>
              <w:t>2. (tavaszi szemeszter)</w:t>
            </w:r>
          </w:p>
        </w:tc>
      </w:tr>
      <w:tr w:rsidR="00637494" w:rsidRPr="00637494" w:rsidTr="00A72E36">
        <w:tc>
          <w:tcPr>
            <w:cnfStyle w:val="001000000000"/>
            <w:tcW w:w="1785" w:type="pct"/>
          </w:tcPr>
          <w:p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/>
            <w:tcW w:w="3215" w:type="pct"/>
          </w:tcPr>
          <w:p w:rsidR="00AD4BC7" w:rsidRPr="00391648" w:rsidRDefault="00391648" w:rsidP="00B40C80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--</w:t>
            </w:r>
          </w:p>
        </w:tc>
      </w:tr>
      <w:tr w:rsidR="00637494" w:rsidRPr="00637494" w:rsidTr="00A72E36">
        <w:trPr>
          <w:cnfStyle w:val="000000100000"/>
        </w:trPr>
        <w:tc>
          <w:tcPr>
            <w:cnfStyle w:val="001000000000"/>
            <w:tcW w:w="1785" w:type="pct"/>
          </w:tcPr>
          <w:p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/>
            <w:tcW w:w="3215" w:type="pct"/>
          </w:tcPr>
          <w:p w:rsidR="00AD4BC7" w:rsidRPr="00391648" w:rsidRDefault="0034326A" w:rsidP="0034326A">
            <w:pPr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Építész Szakmai Intézet,</w:t>
            </w:r>
            <w:r w:rsidR="00391648" w:rsidRPr="00391648">
              <w:rPr>
                <w:rFonts w:cstheme="minorHAnsi"/>
                <w:color w:val="auto"/>
              </w:rPr>
              <w:t xml:space="preserve"> Vizuális Ismeretek Tanszék</w:t>
            </w:r>
          </w:p>
        </w:tc>
      </w:tr>
      <w:tr w:rsidR="00637494" w:rsidRPr="00637494" w:rsidTr="00A72E36">
        <w:tc>
          <w:tcPr>
            <w:cnfStyle w:val="001000000000"/>
            <w:tcW w:w="1785" w:type="pct"/>
          </w:tcPr>
          <w:p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/>
            <w:tcW w:w="3215" w:type="pct"/>
          </w:tcPr>
          <w:p w:rsidR="00AD4BC7" w:rsidRPr="00391648" w:rsidRDefault="00391648" w:rsidP="00391648">
            <w:pPr>
              <w:spacing w:before="60"/>
              <w:rPr>
                <w:rFonts w:cstheme="minorHAnsi"/>
                <w:color w:val="auto"/>
              </w:rPr>
            </w:pPr>
            <w:r w:rsidRPr="00391648">
              <w:rPr>
                <w:rFonts w:cstheme="minorHAnsi"/>
                <w:color w:val="auto"/>
              </w:rPr>
              <w:t xml:space="preserve">Szigetvári Krisztián dr. </w:t>
            </w:r>
          </w:p>
        </w:tc>
      </w:tr>
      <w:tr w:rsidR="00637494" w:rsidRPr="00637494" w:rsidTr="00A72E36">
        <w:trPr>
          <w:cnfStyle w:val="000000100000"/>
        </w:trPr>
        <w:tc>
          <w:tcPr>
            <w:cnfStyle w:val="001000000000"/>
            <w:tcW w:w="1785" w:type="pct"/>
          </w:tcPr>
          <w:p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/>
            <w:tcW w:w="3215" w:type="pct"/>
          </w:tcPr>
          <w:p w:rsidR="006643D3" w:rsidRPr="00391648" w:rsidRDefault="00391648" w:rsidP="00391648">
            <w:pPr>
              <w:rPr>
                <w:rFonts w:cstheme="minorHAnsi"/>
                <w:color w:val="auto"/>
              </w:rPr>
            </w:pPr>
            <w:r w:rsidRPr="00391648">
              <w:rPr>
                <w:rFonts w:cstheme="minorHAnsi"/>
                <w:color w:val="auto"/>
              </w:rPr>
              <w:t xml:space="preserve">Szigetvári Krisztián dr. </w:t>
            </w:r>
          </w:p>
        </w:tc>
      </w:tr>
      <w:tr w:rsidR="00637494" w:rsidRPr="00637494" w:rsidTr="00FA6F99">
        <w:trPr>
          <w:cnfStyle w:val="010000000000"/>
          <w:trHeight w:val="160"/>
        </w:trPr>
        <w:tc>
          <w:tcPr>
            <w:cnfStyle w:val="001000000001"/>
            <w:tcW w:w="1785" w:type="pct"/>
          </w:tcPr>
          <w:p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/>
            <w:tcW w:w="3215" w:type="pct"/>
          </w:tcPr>
          <w:p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9B4F16" w:rsidRPr="00B62997" w:rsidRDefault="003E046B" w:rsidP="00FA6F99">
      <w:pPr>
        <w:pStyle w:val="Cmsor1"/>
        <w:shd w:val="clear" w:color="auto" w:fill="C7C7C7" w:themeFill="accent1" w:themeFillShade="E6"/>
        <w:spacing w:before="120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:rsidR="004F136D" w:rsidRDefault="00DA32E6" w:rsidP="00391648">
      <w:pPr>
        <w:suppressAutoHyphens/>
        <w:rPr>
          <w:rFonts w:cstheme="minorHAnsi"/>
          <w:highlight w:val="lightGray"/>
        </w:rPr>
      </w:pPr>
      <w:r>
        <w:rPr>
          <w:rFonts w:cstheme="minorHAnsi"/>
          <w:highlight w:val="lightGray"/>
        </w:rPr>
        <w:t>A</w:t>
      </w:r>
      <w:r w:rsidR="004F136D">
        <w:rPr>
          <w:rFonts w:cstheme="minorHAnsi"/>
          <w:highlight w:val="lightGray"/>
        </w:rPr>
        <w:t xml:space="preserve"> különböző építészettörténeti korszakok kö</w:t>
      </w:r>
      <w:r>
        <w:rPr>
          <w:rFonts w:cstheme="minorHAnsi"/>
          <w:highlight w:val="lightGray"/>
        </w:rPr>
        <w:t xml:space="preserve">zül a római, az arab és a barokk építészeti örökségre fókuszálnak leginkább az előadások, mégpedig azért, mert ez a három korszak nyomta rá leginkább a bélyegét máig hatóan a városépítészetre is. Fentieken kívül a </w:t>
      </w:r>
      <w:proofErr w:type="spellStart"/>
      <w:r>
        <w:rPr>
          <w:rFonts w:cstheme="minorHAnsi"/>
          <w:highlight w:val="lightGray"/>
        </w:rPr>
        <w:t>romanika</w:t>
      </w:r>
      <w:proofErr w:type="spellEnd"/>
      <w:r>
        <w:rPr>
          <w:rFonts w:cstheme="minorHAnsi"/>
          <w:highlight w:val="lightGray"/>
        </w:rPr>
        <w:t xml:space="preserve">, a gótika és a reneszánsz idejéből is veszünk példákat, és az európai városokon kívül egyes ázsiai, afrikai és latin-amerikai országokból is hozunk példákat, hangsúlyozva azt, hogy bizonyos korszakoknak nem csak nemzeteken, hanem kontinenseken átívelő szerepük is volt.      </w:t>
      </w:r>
    </w:p>
    <w:p w:rsidR="00391648" w:rsidRPr="00033C73" w:rsidRDefault="00DA32E6" w:rsidP="00391648">
      <w:pPr>
        <w:suppressAutoHyphens/>
        <w:rPr>
          <w:rFonts w:cstheme="minorHAnsi"/>
        </w:rPr>
      </w:pPr>
      <w:r>
        <w:rPr>
          <w:rFonts w:cstheme="minorHAnsi"/>
          <w:highlight w:val="lightGray"/>
        </w:rPr>
        <w:t>A</w:t>
      </w:r>
      <w:r w:rsidR="004F136D">
        <w:rPr>
          <w:rFonts w:cstheme="minorHAnsi"/>
          <w:highlight w:val="lightGray"/>
        </w:rPr>
        <w:t xml:space="preserve"> </w:t>
      </w:r>
      <w:r w:rsidR="00391648" w:rsidRPr="00033C73">
        <w:rPr>
          <w:rFonts w:cstheme="minorHAnsi"/>
          <w:highlight w:val="lightGray"/>
        </w:rPr>
        <w:t xml:space="preserve">földrajzi elhelyezkedés, </w:t>
      </w:r>
      <w:r>
        <w:rPr>
          <w:rFonts w:cstheme="minorHAnsi"/>
          <w:highlight w:val="lightGray"/>
        </w:rPr>
        <w:t>a történelmi háttér felvillantásával,</w:t>
      </w:r>
      <w:r w:rsidR="00391648" w:rsidRPr="00033C73">
        <w:rPr>
          <w:rFonts w:cstheme="minorHAnsi"/>
          <w:highlight w:val="lightGray"/>
        </w:rPr>
        <w:t xml:space="preserve"> </w:t>
      </w:r>
      <w:r>
        <w:rPr>
          <w:rFonts w:cstheme="minorHAnsi"/>
          <w:highlight w:val="lightGray"/>
        </w:rPr>
        <w:t xml:space="preserve">az </w:t>
      </w:r>
      <w:r w:rsidR="00391648" w:rsidRPr="00033C73">
        <w:rPr>
          <w:rFonts w:cstheme="minorHAnsi"/>
          <w:highlight w:val="lightGray"/>
        </w:rPr>
        <w:t>infrastrukt</w:t>
      </w:r>
      <w:r>
        <w:rPr>
          <w:rFonts w:cstheme="minorHAnsi"/>
          <w:highlight w:val="lightGray"/>
        </w:rPr>
        <w:t>u</w:t>
      </w:r>
      <w:r w:rsidR="00391648" w:rsidRPr="00033C73">
        <w:rPr>
          <w:rFonts w:cstheme="minorHAnsi"/>
          <w:highlight w:val="lightGray"/>
        </w:rPr>
        <w:t>r</w:t>
      </w:r>
      <w:r>
        <w:rPr>
          <w:rFonts w:cstheme="minorHAnsi"/>
          <w:highlight w:val="lightGray"/>
        </w:rPr>
        <w:t>ális fejlesztések,</w:t>
      </w:r>
      <w:r w:rsidR="00391648" w:rsidRPr="00033C73">
        <w:rPr>
          <w:rFonts w:cstheme="minorHAnsi"/>
          <w:highlight w:val="lightGray"/>
        </w:rPr>
        <w:t xml:space="preserve"> </w:t>
      </w:r>
      <w:r>
        <w:rPr>
          <w:rFonts w:cstheme="minorHAnsi"/>
          <w:highlight w:val="lightGray"/>
        </w:rPr>
        <w:t>az urbanizáció és</w:t>
      </w:r>
      <w:r w:rsidR="00391648" w:rsidRPr="00033C73">
        <w:rPr>
          <w:rFonts w:cstheme="minorHAnsi"/>
          <w:highlight w:val="lightGray"/>
        </w:rPr>
        <w:t xml:space="preserve"> </w:t>
      </w:r>
      <w:r>
        <w:rPr>
          <w:rFonts w:cstheme="minorHAnsi"/>
          <w:highlight w:val="lightGray"/>
        </w:rPr>
        <w:t>a művészeti törekvések bemutatásával mutatjuk be az építészettörténeti összefüggéseket.</w:t>
      </w:r>
    </w:p>
    <w:p w:rsidR="00BE0BC5" w:rsidRPr="00391648" w:rsidRDefault="00BE0BC5" w:rsidP="00850C07">
      <w:pPr>
        <w:suppressAutoHyphens/>
        <w:rPr>
          <w:rFonts w:cstheme="minorHAnsi"/>
          <w:i/>
          <w:iCs/>
          <w:color w:val="00B050"/>
        </w:rPr>
      </w:pPr>
    </w:p>
    <w:p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proofErr w:type="spellStart"/>
      <w:r w:rsidRPr="00637494">
        <w:rPr>
          <w:lang w:val="en-US"/>
        </w:rPr>
        <w:t>Tárgytematika</w:t>
      </w:r>
      <w:proofErr w:type="spellEnd"/>
    </w:p>
    <w:p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proofErr w:type="spellStart"/>
      <w:r w:rsidRPr="0063460E">
        <w:rPr>
          <w:b/>
          <w:bCs/>
          <w:lang w:val="en-US"/>
        </w:rPr>
        <w:t>Az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:rsidR="00391648" w:rsidRPr="00CD09D6" w:rsidRDefault="00391648" w:rsidP="00391648">
      <w:pPr>
        <w:pStyle w:val="western"/>
        <w:spacing w:after="119" w:line="240" w:lineRule="auto"/>
        <w:jc w:val="both"/>
        <w:rPr>
          <w:rFonts w:asciiTheme="minorHAnsi" w:hAnsiTheme="minorHAnsi" w:cstheme="minorHAnsi"/>
          <w:color w:val="auto"/>
          <w:sz w:val="20"/>
          <w:szCs w:val="20"/>
          <w:highlight w:val="lightGray"/>
        </w:rPr>
      </w:pPr>
      <w:r w:rsidRPr="00CD09D6">
        <w:rPr>
          <w:rFonts w:asciiTheme="minorHAnsi" w:hAnsiTheme="minorHAnsi" w:cstheme="minorHAnsi"/>
          <w:color w:val="auto"/>
          <w:sz w:val="20"/>
          <w:szCs w:val="20"/>
          <w:highlight w:val="lightGray"/>
        </w:rPr>
        <w:t xml:space="preserve">Az oktatás igyekszik széles spektrumot és széles időtávlatokat átfogni, és összefüggéseket keresni a fentiekben felsorolt építészettörténeti korszakok között. </w:t>
      </w:r>
      <w:r w:rsidR="00FA6F99">
        <w:rPr>
          <w:rFonts w:asciiTheme="minorHAnsi" w:hAnsiTheme="minorHAnsi" w:cstheme="minorHAnsi"/>
          <w:color w:val="auto"/>
          <w:sz w:val="20"/>
          <w:szCs w:val="20"/>
          <w:highlight w:val="lightGray"/>
        </w:rPr>
        <w:t xml:space="preserve">Cél a máig összefüggően, vagy pontszerűen fennmaradt épített örökség fontosságának hangsúlyozása, </w:t>
      </w:r>
      <w:r w:rsidR="00DC58A6">
        <w:rPr>
          <w:rFonts w:asciiTheme="minorHAnsi" w:hAnsiTheme="minorHAnsi" w:cstheme="minorHAnsi"/>
          <w:color w:val="auto"/>
          <w:sz w:val="20"/>
          <w:szCs w:val="20"/>
          <w:highlight w:val="lightGray"/>
        </w:rPr>
        <w:t xml:space="preserve">a kontinuitás megkeresése, </w:t>
      </w:r>
      <w:r w:rsidR="00FA6F99">
        <w:rPr>
          <w:rFonts w:asciiTheme="minorHAnsi" w:hAnsiTheme="minorHAnsi" w:cstheme="minorHAnsi"/>
          <w:color w:val="auto"/>
          <w:sz w:val="20"/>
          <w:szCs w:val="20"/>
          <w:highlight w:val="lightGray"/>
        </w:rPr>
        <w:t xml:space="preserve">valamint a történeti épületek és az újabb építésűek közötti kölcsönhatás bemutatása. </w:t>
      </w:r>
      <w:r w:rsidRPr="00CD09D6">
        <w:rPr>
          <w:rFonts w:asciiTheme="minorHAnsi" w:hAnsiTheme="minorHAnsi" w:cstheme="minorHAnsi"/>
          <w:color w:val="auto"/>
          <w:sz w:val="20"/>
          <w:szCs w:val="20"/>
          <w:highlight w:val="lightGray"/>
        </w:rPr>
        <w:t xml:space="preserve">Mindeközben a legnagyobb építészetelméleti gondolkodók legfontosabb megállapításait is sorra vesszük: </w:t>
      </w:r>
      <w:proofErr w:type="spellStart"/>
      <w:r w:rsidRPr="00CD09D6">
        <w:rPr>
          <w:rFonts w:asciiTheme="minorHAnsi" w:hAnsiTheme="minorHAnsi" w:cstheme="minorHAnsi"/>
          <w:color w:val="auto"/>
          <w:sz w:val="20"/>
          <w:szCs w:val="20"/>
          <w:highlight w:val="lightGray"/>
        </w:rPr>
        <w:t>Vitruvi</w:t>
      </w:r>
      <w:r w:rsidR="00CD09D6">
        <w:rPr>
          <w:rFonts w:asciiTheme="minorHAnsi" w:hAnsiTheme="minorHAnsi" w:cstheme="minorHAnsi"/>
          <w:color w:val="auto"/>
          <w:sz w:val="20"/>
          <w:szCs w:val="20"/>
          <w:highlight w:val="lightGray"/>
        </w:rPr>
        <w:t>u</w:t>
      </w:r>
      <w:r w:rsidRPr="00CD09D6">
        <w:rPr>
          <w:rFonts w:asciiTheme="minorHAnsi" w:hAnsiTheme="minorHAnsi" w:cstheme="minorHAnsi"/>
          <w:color w:val="auto"/>
          <w:sz w:val="20"/>
          <w:szCs w:val="20"/>
          <w:highlight w:val="lightGray"/>
        </w:rPr>
        <w:t>s</w:t>
      </w:r>
      <w:proofErr w:type="spellEnd"/>
      <w:r w:rsidRPr="00CD09D6">
        <w:rPr>
          <w:rFonts w:asciiTheme="minorHAnsi" w:hAnsiTheme="minorHAnsi" w:cstheme="minorHAnsi"/>
          <w:color w:val="auto"/>
          <w:sz w:val="20"/>
          <w:szCs w:val="20"/>
          <w:highlight w:val="lightGray"/>
        </w:rPr>
        <w:t xml:space="preserve">, Alberti és Andrea </w:t>
      </w:r>
      <w:proofErr w:type="spellStart"/>
      <w:r w:rsidRPr="00CD09D6">
        <w:rPr>
          <w:rFonts w:asciiTheme="minorHAnsi" w:hAnsiTheme="minorHAnsi" w:cstheme="minorHAnsi"/>
          <w:color w:val="auto"/>
          <w:sz w:val="20"/>
          <w:szCs w:val="20"/>
          <w:highlight w:val="lightGray"/>
        </w:rPr>
        <w:t>Palladio</w:t>
      </w:r>
      <w:proofErr w:type="spellEnd"/>
      <w:r w:rsidRPr="00CD09D6">
        <w:rPr>
          <w:rFonts w:asciiTheme="minorHAnsi" w:hAnsiTheme="minorHAnsi" w:cstheme="minorHAnsi"/>
          <w:color w:val="auto"/>
          <w:sz w:val="20"/>
          <w:szCs w:val="20"/>
          <w:highlight w:val="lightGray"/>
        </w:rPr>
        <w:t xml:space="preserve"> munkássága.</w:t>
      </w:r>
    </w:p>
    <w:p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PlainTable3"/>
        <w:tblW w:w="10348" w:type="dxa"/>
        <w:tblInd w:w="142" w:type="dxa"/>
        <w:tblLayout w:type="fixed"/>
        <w:tblLook w:val="04A0"/>
      </w:tblPr>
      <w:tblGrid>
        <w:gridCol w:w="1843"/>
        <w:gridCol w:w="8505"/>
      </w:tblGrid>
      <w:tr w:rsidR="00637494" w:rsidRPr="00637494" w:rsidTr="001F4310">
        <w:trPr>
          <w:cnfStyle w:val="100000000000"/>
        </w:trPr>
        <w:tc>
          <w:tcPr>
            <w:cnfStyle w:val="001000000100"/>
            <w:tcW w:w="1843" w:type="dxa"/>
            <w:shd w:val="clear" w:color="auto" w:fill="auto"/>
          </w:tcPr>
          <w:p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:rsidR="00720EAD" w:rsidRPr="003E046B" w:rsidRDefault="00720EAD" w:rsidP="00052842">
            <w:pPr>
              <w:keepNext/>
              <w:jc w:val="center"/>
              <w:cnfStyle w:val="10000000000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:rsidTr="001F4310">
        <w:trPr>
          <w:cnfStyle w:val="000000100000"/>
        </w:trPr>
        <w:tc>
          <w:tcPr>
            <w:cnfStyle w:val="001000000000"/>
            <w:tcW w:w="1843" w:type="dxa"/>
            <w:shd w:val="clear" w:color="auto" w:fill="auto"/>
          </w:tcPr>
          <w:p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:rsidR="00391648" w:rsidRPr="00CD09D6" w:rsidRDefault="00391648" w:rsidP="00391648">
            <w:pPr>
              <w:pStyle w:val="western"/>
              <w:spacing w:after="119" w:line="240" w:lineRule="auto"/>
              <w:jc w:val="both"/>
              <w:cnfStyle w:val="0000001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1. A Római Birodalom legnagyobb kiterjedése idején rendelkezett provinciákkal Ázsia, Afrika és Európa területén is. A </w:t>
            </w:r>
            <w:proofErr w:type="spellStart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romanizáció</w:t>
            </w:r>
            <w:proofErr w:type="spellEnd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az akkor ismert világ „globalizációja” volt, így feltehető a kérdés, hogy az eltérő kontinenseken létrejött városok miben térnek el egymástól, ill. mely elemekben azonosak. A limes vonalán belül elemzésre kerülnek olyan romvárosok, mint </w:t>
            </w:r>
            <w:proofErr w:type="spellStart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Coninbriga</w:t>
            </w:r>
            <w:proofErr w:type="spellEnd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Italica</w:t>
            </w:r>
            <w:proofErr w:type="spellEnd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Xanten</w:t>
            </w:r>
            <w:proofErr w:type="spellEnd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Nijmegen</w:t>
            </w:r>
            <w:proofErr w:type="spellEnd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Ostia</w:t>
            </w:r>
            <w:proofErr w:type="spellEnd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és </w:t>
            </w:r>
            <w:proofErr w:type="spellStart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Jerash</w:t>
            </w:r>
            <w:proofErr w:type="spellEnd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  <w:r w:rsidR="00DA32E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Megvizsgáljuk, hogy</w:t>
            </w:r>
            <w:r w:rsidR="005A08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 földalatti Nápoly, illetve a Vezúv által elpusztított </w:t>
            </w:r>
            <w:r w:rsidR="00DA32E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Pompeji és </w:t>
            </w:r>
            <w:proofErr w:type="spellStart"/>
            <w:r w:rsidR="00DA32E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Herculaneum</w:t>
            </w:r>
            <w:proofErr w:type="spellEnd"/>
            <w:r w:rsidR="00DA32E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feltárás</w:t>
            </w:r>
            <w:r w:rsidR="005A08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ai</w:t>
            </w:r>
            <w:r w:rsidR="00DA32E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 keresztül milyen </w:t>
            </w:r>
            <w:r w:rsidR="005A08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új </w:t>
            </w:r>
            <w:r w:rsidR="00921E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római városépítészeti </w:t>
            </w:r>
            <w:r w:rsidR="005A08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ismeretekhez jutottunk. </w:t>
            </w:r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 Kárpát-medencén belül megvizsgáljuk </w:t>
            </w:r>
            <w:proofErr w:type="spellStart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Carnuntum</w:t>
            </w:r>
            <w:proofErr w:type="spellEnd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Aquincum, Savaria és Sopianae római kori leleteit, régészeti feltárásait.</w:t>
            </w:r>
            <w:r w:rsidR="005A08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Végezetül javaslatokat teszünk mindezen ismeretek használatára bizonyos tervezési projekteken belül. </w:t>
            </w:r>
          </w:p>
          <w:p w:rsidR="00391648" w:rsidRDefault="00391648" w:rsidP="00391648">
            <w:pPr>
              <w:pStyle w:val="western"/>
              <w:spacing w:after="119" w:line="240" w:lineRule="auto"/>
              <w:jc w:val="both"/>
              <w:cnfStyle w:val="0000001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2. A </w:t>
            </w:r>
            <w:r w:rsidR="000B50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muzulmán </w:t>
            </w:r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építészet</w:t>
            </w:r>
            <w:r w:rsidR="005C37F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 7. századtól napjainkig velünk él</w:t>
            </w:r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5C37F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és folyamatosan terjeszkedik. </w:t>
            </w:r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Róma hatása az arab világra</w:t>
            </w:r>
            <w:r w:rsidR="000B50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eleinte elkerülhetetlen volt, ezt követően pedig az arab építészet vált meghatározóvá Ázsiában és Észak-Afrikában, és jelentős befolyást gyakorolt az Ibériai-félszigeten is a keresztények építészetére. A középkor végén az Oszmán Birodalom terjeszkedésével ugyanez figyelhető meg Európa egyes országaiban is. Az ún.</w:t>
            </w:r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perifériákon</w:t>
            </w:r>
            <w:r w:rsidR="000B50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vagy </w:t>
            </w:r>
            <w:proofErr w:type="spellStart"/>
            <w:r w:rsidR="000B50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félperifériákon</w:t>
            </w:r>
            <w:proofErr w:type="spellEnd"/>
            <w:r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mindig színesebbek és összetettebbek az építészeti megnyilvánulások is, melyek sajátos </w:t>
            </w:r>
            <w:r w:rsidR="000B50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példáit sorban </w:t>
            </w:r>
            <w:r w:rsidR="000B50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megismerjük az előadások során. </w:t>
            </w:r>
            <w:r w:rsidR="00636BD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 muzulmán művészeti, építészeti formakincs szintén máig velünk él, </w:t>
            </w:r>
            <w:r w:rsidR="00921E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pl. </w:t>
            </w:r>
            <w:r w:rsidR="00636BD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szecessziós építészet is újra felfedezte magának a 20. század elején.</w:t>
            </w:r>
            <w:r w:rsidR="00A400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 fókuszban Spanyolország arab építészete, Egyiptom középkori építészete, Magyarország oszmán építészete és mindezek gyakorlati hasznosítása a jelenkor építészetében.</w:t>
            </w:r>
          </w:p>
          <w:p w:rsidR="00636BDF" w:rsidRPr="00CD09D6" w:rsidRDefault="00636BDF" w:rsidP="00391648">
            <w:pPr>
              <w:pStyle w:val="western"/>
              <w:spacing w:after="119" w:line="240" w:lineRule="auto"/>
              <w:jc w:val="both"/>
              <w:cnfStyle w:val="0000001000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3. 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romanika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a gótika és a reneszánsz különböző súllyal van jelen Európa különböző országaiban, az építészeti örökség inkább pontszerű és nem tömbszerű, de érdemes itt is megismerkedni a párhuzamokkal és a különbségekkel.</w:t>
            </w:r>
          </w:p>
          <w:p w:rsidR="00720EAD" w:rsidRPr="00576376" w:rsidRDefault="00636BDF" w:rsidP="00E444F0">
            <w:pPr>
              <w:pStyle w:val="western"/>
              <w:spacing w:after="119" w:line="240" w:lineRule="auto"/>
              <w:jc w:val="both"/>
              <w:cnfStyle w:val="000000100000"/>
              <w:rPr>
                <w:i/>
                <w:iCs/>
                <w:color w:val="969696" w:themeColor="accent3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="00391648"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 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 ellenreformáció során a „barokkosítás” leginkább a katolikus többségű országokban sikerült jól, itt máig meghatározó a barokk építészeti öröksége. Ugyanakkor a barokk is eltérő súllyal van jelen</w:t>
            </w:r>
            <w:r w:rsidR="00391648" w:rsidRPr="00CD09D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Európa különböző országaiban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Figyelemreméltó az is, hogy a barokk építészet megjelent Dél-Amerikában és </w:t>
            </w:r>
            <w:r w:rsidR="00E444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Délk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elet-Ázsiában is. </w:t>
            </w:r>
            <w:r w:rsidR="00A400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 barokk városok épített örökségének megőrzése műemlékvédelmi érdek, urbanisztikai szempontból izgalmas a kortárs és a történeti épületek együttélése. </w:t>
            </w:r>
          </w:p>
        </w:tc>
      </w:tr>
      <w:tr w:rsidR="00637494" w:rsidRPr="00637494" w:rsidTr="001F4310">
        <w:tc>
          <w:tcPr>
            <w:cnfStyle w:val="001000000000"/>
            <w:tcW w:w="1843" w:type="dxa"/>
            <w:shd w:val="clear" w:color="auto" w:fill="auto"/>
          </w:tcPr>
          <w:p w:rsidR="00391648" w:rsidRPr="003E046B" w:rsidRDefault="00391648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</w:p>
        </w:tc>
        <w:tc>
          <w:tcPr>
            <w:tcW w:w="8505" w:type="dxa"/>
            <w:shd w:val="clear" w:color="auto" w:fill="DFDFDF" w:themeFill="background2" w:themeFillShade="E6"/>
          </w:tcPr>
          <w:p w:rsidR="00720EAD" w:rsidRPr="00576376" w:rsidRDefault="00720EAD" w:rsidP="005C08F1">
            <w:pPr>
              <w:cnfStyle w:val="000000000000"/>
              <w:rPr>
                <w:i/>
                <w:iCs/>
                <w:color w:val="969696" w:themeColor="accent3"/>
              </w:rPr>
            </w:pPr>
          </w:p>
        </w:tc>
      </w:tr>
    </w:tbl>
    <w:p w:rsidR="00065780" w:rsidRDefault="00065780" w:rsidP="00720EAD">
      <w:pPr>
        <w:jc w:val="center"/>
        <w:rPr>
          <w:b/>
          <w:bCs/>
          <w:highlight w:val="green"/>
        </w:rPr>
      </w:pPr>
    </w:p>
    <w:p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tbl>
      <w:tblPr>
        <w:tblStyle w:val="Tblzatrcsos7tarka1"/>
        <w:tblW w:w="10350" w:type="dxa"/>
        <w:tblInd w:w="5" w:type="dxa"/>
        <w:tblLayout w:type="fixed"/>
        <w:tblLook w:val="04A0"/>
      </w:tblPr>
      <w:tblGrid>
        <w:gridCol w:w="711"/>
        <w:gridCol w:w="4070"/>
        <w:gridCol w:w="2126"/>
        <w:gridCol w:w="1843"/>
        <w:gridCol w:w="1600"/>
      </w:tblGrid>
      <w:tr w:rsidR="00637494" w:rsidRPr="00637494" w:rsidTr="0076517B">
        <w:trPr>
          <w:cnfStyle w:val="100000000000"/>
        </w:trPr>
        <w:tc>
          <w:tcPr>
            <w:cnfStyle w:val="001000000100"/>
            <w:tcW w:w="10350" w:type="dxa"/>
            <w:gridSpan w:val="5"/>
          </w:tcPr>
          <w:p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:rsidTr="007265C2">
        <w:trPr>
          <w:cnfStyle w:val="000000100000"/>
        </w:trPr>
        <w:tc>
          <w:tcPr>
            <w:cnfStyle w:val="001000000000"/>
            <w:tcW w:w="711" w:type="dxa"/>
          </w:tcPr>
          <w:p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4070" w:type="dxa"/>
          </w:tcPr>
          <w:p w:rsidR="00EC5287" w:rsidRPr="00637494" w:rsidRDefault="00EC5287" w:rsidP="003E046B">
            <w:pPr>
              <w:keepNext/>
              <w:jc w:val="center"/>
              <w:cnfStyle w:val="00000010000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2126" w:type="dxa"/>
          </w:tcPr>
          <w:p w:rsidR="00EC5287" w:rsidRPr="00637494" w:rsidRDefault="00EC5287" w:rsidP="003E046B">
            <w:pPr>
              <w:keepNext/>
              <w:jc w:val="center"/>
              <w:cnfStyle w:val="000000100000"/>
              <w:rPr>
                <w:b/>
                <w:bCs/>
              </w:rPr>
            </w:pPr>
            <w:r w:rsidRPr="00637494">
              <w:rPr>
                <w:b/>
                <w:bCs/>
              </w:rPr>
              <w:t>Kötelező irodalom</w:t>
            </w:r>
            <w:r w:rsidR="008B50C8" w:rsidRPr="00637494">
              <w:rPr>
                <w:b/>
                <w:bCs/>
              </w:rPr>
              <w:t xml:space="preserve"> hivatkozás,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3" w:type="dxa"/>
          </w:tcPr>
          <w:p w:rsidR="00EC5287" w:rsidRPr="00637494" w:rsidRDefault="00EC5287" w:rsidP="003E046B">
            <w:pPr>
              <w:keepNext/>
              <w:jc w:val="center"/>
              <w:cnfStyle w:val="00000010000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600" w:type="dxa"/>
          </w:tcPr>
          <w:p w:rsidR="00EC5287" w:rsidRPr="00637494" w:rsidRDefault="00EC5287" w:rsidP="003E046B">
            <w:pPr>
              <w:keepNext/>
              <w:jc w:val="center"/>
              <w:cnfStyle w:val="00000010000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:rsidTr="007265C2">
        <w:tc>
          <w:tcPr>
            <w:cnfStyle w:val="001000000000"/>
            <w:tcW w:w="711" w:type="dxa"/>
          </w:tcPr>
          <w:p w:rsidR="00EC5287" w:rsidRPr="00637494" w:rsidRDefault="00EC5287" w:rsidP="00576376">
            <w:r w:rsidRPr="00637494">
              <w:t>1.</w:t>
            </w:r>
          </w:p>
        </w:tc>
        <w:tc>
          <w:tcPr>
            <w:tcW w:w="4070" w:type="dxa"/>
          </w:tcPr>
          <w:p w:rsidR="00EC5287" w:rsidRPr="00C213D2" w:rsidRDefault="00A40094" w:rsidP="00A40094">
            <w:pPr>
              <w:pStyle w:val="western"/>
              <w:spacing w:after="119" w:line="240" w:lineRule="auto"/>
              <w:jc w:val="both"/>
              <w:cnfStyle w:val="000000000000"/>
              <w:rPr>
                <w:color w:val="auto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A féléves témakörök ismertetése,</w:t>
            </w:r>
            <w:r w:rsidR="00F61BFF" w:rsidRPr="00C213D2">
              <w:rPr>
                <w:rFonts w:ascii="Century Gothic" w:hAnsi="Century Gothic"/>
                <w:color w:val="auto"/>
                <w:sz w:val="20"/>
                <w:szCs w:val="20"/>
              </w:rPr>
              <w:t xml:space="preserve"> gyakorlati tudnivalók</w:t>
            </w:r>
            <w:r>
              <w:rPr>
                <w:rFonts w:ascii="Century Gothic" w:hAnsi="Century Gothic"/>
                <w:color w:val="auto"/>
                <w:sz w:val="20"/>
                <w:szCs w:val="20"/>
              </w:rPr>
              <w:t>, feladatkiosztás</w:t>
            </w:r>
          </w:p>
        </w:tc>
        <w:tc>
          <w:tcPr>
            <w:tcW w:w="2126" w:type="dxa"/>
          </w:tcPr>
          <w:p w:rsidR="00EC5287" w:rsidRPr="00637494" w:rsidRDefault="00576376" w:rsidP="00BD4FC9">
            <w:pPr>
              <w:cnfStyle w:val="000000000000"/>
            </w:pPr>
            <w:r>
              <w:t>…</w:t>
            </w:r>
          </w:p>
        </w:tc>
        <w:tc>
          <w:tcPr>
            <w:tcW w:w="1843" w:type="dxa"/>
          </w:tcPr>
          <w:p w:rsidR="00EC5287" w:rsidRPr="00637494" w:rsidRDefault="00576376" w:rsidP="00BD4FC9">
            <w:pPr>
              <w:cnfStyle w:val="000000000000"/>
            </w:pPr>
            <w:r>
              <w:t>…</w:t>
            </w:r>
          </w:p>
        </w:tc>
        <w:tc>
          <w:tcPr>
            <w:tcW w:w="1600" w:type="dxa"/>
          </w:tcPr>
          <w:p w:rsidR="00EC5287" w:rsidRPr="00637494" w:rsidRDefault="00576376" w:rsidP="00BD4FC9">
            <w:pPr>
              <w:cnfStyle w:val="000000000000"/>
            </w:pPr>
            <w:r>
              <w:t>…</w:t>
            </w:r>
          </w:p>
        </w:tc>
      </w:tr>
      <w:tr w:rsidR="00637494" w:rsidRPr="00637494" w:rsidTr="007265C2">
        <w:trPr>
          <w:cnfStyle w:val="000000100000"/>
        </w:trPr>
        <w:tc>
          <w:tcPr>
            <w:cnfStyle w:val="001000000000"/>
            <w:tcW w:w="711" w:type="dxa"/>
          </w:tcPr>
          <w:p w:rsidR="00EC5287" w:rsidRPr="00637494" w:rsidRDefault="00EC5287" w:rsidP="00576376">
            <w:r w:rsidRPr="00637494">
              <w:t>2.</w:t>
            </w:r>
          </w:p>
        </w:tc>
        <w:tc>
          <w:tcPr>
            <w:tcW w:w="4070" w:type="dxa"/>
          </w:tcPr>
          <w:p w:rsidR="00EC5287" w:rsidRPr="00C213D2" w:rsidRDefault="00A40094" w:rsidP="007265C2">
            <w:pPr>
              <w:pStyle w:val="western"/>
              <w:spacing w:after="119" w:line="240" w:lineRule="auto"/>
              <w:jc w:val="both"/>
              <w:cnfStyle w:val="000000100000"/>
              <w:rPr>
                <w:color w:val="auto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A</w:t>
            </w:r>
            <w:r w:rsidR="00F61BFF" w:rsidRPr="00C213D2">
              <w:rPr>
                <w:rFonts w:ascii="Century Gothic" w:hAnsi="Century Gothic"/>
                <w:color w:val="auto"/>
                <w:sz w:val="20"/>
                <w:szCs w:val="20"/>
              </w:rPr>
              <w:t xml:space="preserve"> Római Birodalom</w:t>
            </w:r>
            <w:r>
              <w:rPr>
                <w:rFonts w:ascii="Century Gothic" w:hAnsi="Century Gothic"/>
                <w:color w:val="auto"/>
                <w:sz w:val="20"/>
                <w:szCs w:val="20"/>
              </w:rPr>
              <w:t xml:space="preserve"> infrastrukturális újításai, máig meglévő épített örökség</w:t>
            </w:r>
            <w:r w:rsidR="003258E3">
              <w:rPr>
                <w:rFonts w:ascii="Century Gothic" w:hAnsi="Century Gothic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258E3">
              <w:rPr>
                <w:rFonts w:ascii="Century Gothic" w:hAnsi="Century Gothic"/>
                <w:color w:val="auto"/>
                <w:sz w:val="20"/>
                <w:szCs w:val="20"/>
              </w:rPr>
              <w:t>Vitruvius</w:t>
            </w:r>
            <w:proofErr w:type="spellEnd"/>
          </w:p>
        </w:tc>
        <w:tc>
          <w:tcPr>
            <w:tcW w:w="2126" w:type="dxa"/>
          </w:tcPr>
          <w:p w:rsidR="00EC5287" w:rsidRPr="00637494" w:rsidRDefault="007719CD" w:rsidP="00BD4FC9">
            <w:pPr>
              <w:cnfStyle w:val="000000100000"/>
            </w:pPr>
            <w:r w:rsidRPr="00E72530">
              <w:rPr>
                <w:rFonts w:cstheme="minorHAnsi"/>
              </w:rPr>
              <w:t>[1.]</w:t>
            </w:r>
          </w:p>
        </w:tc>
        <w:tc>
          <w:tcPr>
            <w:tcW w:w="1843" w:type="dxa"/>
          </w:tcPr>
          <w:p w:rsidR="00EC5287" w:rsidRPr="00637494" w:rsidRDefault="00EC5287" w:rsidP="00BD4FC9">
            <w:pPr>
              <w:cnfStyle w:val="000000100000"/>
            </w:pPr>
          </w:p>
        </w:tc>
        <w:tc>
          <w:tcPr>
            <w:tcW w:w="1600" w:type="dxa"/>
          </w:tcPr>
          <w:p w:rsidR="00EC5287" w:rsidRPr="00637494" w:rsidRDefault="00EC5287" w:rsidP="00BD4FC9">
            <w:pPr>
              <w:cnfStyle w:val="000000100000"/>
            </w:pPr>
          </w:p>
        </w:tc>
      </w:tr>
      <w:tr w:rsidR="00637494" w:rsidRPr="00637494" w:rsidTr="007265C2">
        <w:tc>
          <w:tcPr>
            <w:cnfStyle w:val="001000000000"/>
            <w:tcW w:w="711" w:type="dxa"/>
          </w:tcPr>
          <w:p w:rsidR="00EC5287" w:rsidRPr="00637494" w:rsidRDefault="00EC5287" w:rsidP="00576376">
            <w:r w:rsidRPr="00637494">
              <w:t>3.</w:t>
            </w:r>
          </w:p>
        </w:tc>
        <w:tc>
          <w:tcPr>
            <w:tcW w:w="4070" w:type="dxa"/>
          </w:tcPr>
          <w:p w:rsidR="00EC5287" w:rsidRPr="00C213D2" w:rsidRDefault="00A40094" w:rsidP="00A40094">
            <w:pPr>
              <w:pStyle w:val="western"/>
              <w:spacing w:after="119" w:line="240" w:lineRule="auto"/>
              <w:jc w:val="both"/>
              <w:cnfStyle w:val="000000000000"/>
              <w:rPr>
                <w:color w:val="auto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A</w:t>
            </w:r>
            <w:r w:rsidR="00F61BFF" w:rsidRPr="00C213D2">
              <w:rPr>
                <w:rFonts w:ascii="Century Gothic" w:hAnsi="Century Gothic"/>
                <w:color w:val="auto"/>
                <w:sz w:val="20"/>
                <w:szCs w:val="20"/>
              </w:rPr>
              <w:t xml:space="preserve"> Római Birodalom </w:t>
            </w:r>
            <w:r>
              <w:rPr>
                <w:rFonts w:ascii="Century Gothic" w:hAnsi="Century Gothic"/>
                <w:color w:val="auto"/>
                <w:sz w:val="20"/>
                <w:szCs w:val="20"/>
              </w:rPr>
              <w:t>városépítészete. Külföldi és magyarországi példákkal</w:t>
            </w:r>
          </w:p>
        </w:tc>
        <w:tc>
          <w:tcPr>
            <w:tcW w:w="2126" w:type="dxa"/>
          </w:tcPr>
          <w:p w:rsidR="00EC5287" w:rsidRPr="00637494" w:rsidRDefault="007719CD" w:rsidP="00BD4FC9">
            <w:pPr>
              <w:cnfStyle w:val="000000000000"/>
            </w:pPr>
            <w:r w:rsidRPr="00E72530">
              <w:rPr>
                <w:rFonts w:cstheme="minorHAnsi"/>
              </w:rPr>
              <w:t>[1.]</w:t>
            </w:r>
          </w:p>
        </w:tc>
        <w:tc>
          <w:tcPr>
            <w:tcW w:w="1843" w:type="dxa"/>
          </w:tcPr>
          <w:p w:rsidR="00EC5287" w:rsidRPr="00637494" w:rsidRDefault="00EC5287" w:rsidP="00BD4FC9">
            <w:pPr>
              <w:cnfStyle w:val="000000000000"/>
            </w:pPr>
          </w:p>
        </w:tc>
        <w:tc>
          <w:tcPr>
            <w:tcW w:w="1600" w:type="dxa"/>
          </w:tcPr>
          <w:p w:rsidR="00EC5287" w:rsidRPr="00637494" w:rsidRDefault="00EC5287" w:rsidP="00BD4FC9">
            <w:pPr>
              <w:cnfStyle w:val="000000000000"/>
            </w:pPr>
          </w:p>
        </w:tc>
      </w:tr>
      <w:tr w:rsidR="00637494" w:rsidRPr="00637494" w:rsidTr="007265C2">
        <w:trPr>
          <w:cnfStyle w:val="000000100000"/>
        </w:trPr>
        <w:tc>
          <w:tcPr>
            <w:cnfStyle w:val="001000000000"/>
            <w:tcW w:w="711" w:type="dxa"/>
          </w:tcPr>
          <w:p w:rsidR="00EC5287" w:rsidRPr="00637494" w:rsidRDefault="00EC5287" w:rsidP="00576376">
            <w:r w:rsidRPr="00637494">
              <w:t>4.</w:t>
            </w:r>
          </w:p>
        </w:tc>
        <w:tc>
          <w:tcPr>
            <w:tcW w:w="4070" w:type="dxa"/>
          </w:tcPr>
          <w:p w:rsidR="00EC5287" w:rsidRPr="00C213D2" w:rsidRDefault="00A40094" w:rsidP="00A40094">
            <w:pPr>
              <w:pStyle w:val="western"/>
              <w:spacing w:after="119" w:line="240" w:lineRule="auto"/>
              <w:jc w:val="both"/>
              <w:cnfStyle w:val="000000100000"/>
              <w:rPr>
                <w:color w:val="auto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 xml:space="preserve">Romvárosok, feltárt települések: Pompeji, </w:t>
            </w:r>
            <w:proofErr w:type="spellStart"/>
            <w:r>
              <w:rPr>
                <w:rFonts w:ascii="Century Gothic" w:hAnsi="Century Gothic"/>
                <w:color w:val="auto"/>
                <w:sz w:val="20"/>
                <w:szCs w:val="20"/>
              </w:rPr>
              <w:t>Herculaneum</w:t>
            </w:r>
            <w:proofErr w:type="spellEnd"/>
            <w:r>
              <w:rPr>
                <w:rFonts w:ascii="Century Gothic" w:hAnsi="Century Gothic"/>
                <w:color w:val="auto"/>
                <w:sz w:val="20"/>
                <w:szCs w:val="20"/>
              </w:rPr>
              <w:t>, Nápoly földalatti világa</w:t>
            </w:r>
          </w:p>
        </w:tc>
        <w:tc>
          <w:tcPr>
            <w:tcW w:w="2126" w:type="dxa"/>
          </w:tcPr>
          <w:p w:rsidR="00EC5287" w:rsidRPr="00637494" w:rsidRDefault="007719CD" w:rsidP="00283669">
            <w:pPr>
              <w:cnfStyle w:val="000000100000"/>
            </w:pPr>
            <w:r w:rsidRPr="00E72530">
              <w:rPr>
                <w:rFonts w:cstheme="minorHAnsi"/>
              </w:rPr>
              <w:t>[</w:t>
            </w:r>
            <w:r w:rsidR="00283669">
              <w:rPr>
                <w:rFonts w:cstheme="minorHAnsi"/>
              </w:rPr>
              <w:t>1</w:t>
            </w:r>
            <w:r w:rsidRPr="00E72530">
              <w:rPr>
                <w:rFonts w:cstheme="minorHAnsi"/>
              </w:rPr>
              <w:t>.]</w:t>
            </w:r>
          </w:p>
        </w:tc>
        <w:tc>
          <w:tcPr>
            <w:tcW w:w="1843" w:type="dxa"/>
          </w:tcPr>
          <w:p w:rsidR="00EC5287" w:rsidRPr="00637494" w:rsidRDefault="00EC5287" w:rsidP="00BD4FC9">
            <w:pPr>
              <w:cnfStyle w:val="000000100000"/>
            </w:pPr>
          </w:p>
        </w:tc>
        <w:tc>
          <w:tcPr>
            <w:tcW w:w="1600" w:type="dxa"/>
          </w:tcPr>
          <w:p w:rsidR="00EC5287" w:rsidRPr="00637494" w:rsidRDefault="00EC5287" w:rsidP="00BD4FC9">
            <w:pPr>
              <w:cnfStyle w:val="000000100000"/>
            </w:pPr>
          </w:p>
        </w:tc>
      </w:tr>
      <w:tr w:rsidR="00A40094" w:rsidRPr="00637494" w:rsidTr="007265C2">
        <w:tc>
          <w:tcPr>
            <w:cnfStyle w:val="001000000000"/>
            <w:tcW w:w="711" w:type="dxa"/>
          </w:tcPr>
          <w:p w:rsidR="00A40094" w:rsidRPr="00637494" w:rsidRDefault="00A40094" w:rsidP="00576376">
            <w:r>
              <w:t>5.</w:t>
            </w:r>
          </w:p>
        </w:tc>
        <w:tc>
          <w:tcPr>
            <w:tcW w:w="4070" w:type="dxa"/>
          </w:tcPr>
          <w:p w:rsidR="00A40094" w:rsidRDefault="00FA6F99" w:rsidP="007265C2">
            <w:pPr>
              <w:cnfStyle w:val="0000000000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Hallgatói</w:t>
            </w:r>
            <w:r w:rsidR="00A40094">
              <w:rPr>
                <w:rFonts w:ascii="Century Gothic" w:hAnsi="Century Gothic"/>
              </w:rPr>
              <w:t xml:space="preserve"> prezentáció</w:t>
            </w:r>
            <w:r>
              <w:rPr>
                <w:rFonts w:ascii="Century Gothic" w:hAnsi="Century Gothic"/>
              </w:rPr>
              <w:t>k</w:t>
            </w:r>
            <w:r w:rsidR="00A40094">
              <w:rPr>
                <w:rFonts w:ascii="Century Gothic" w:hAnsi="Century Gothic"/>
              </w:rPr>
              <w:t>: római világ</w:t>
            </w:r>
          </w:p>
          <w:p w:rsidR="00A40094" w:rsidRPr="00C213D2" w:rsidRDefault="00A40094" w:rsidP="007265C2">
            <w:pPr>
              <w:cnfStyle w:val="000000000000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:rsidR="00A40094" w:rsidRPr="00E72530" w:rsidRDefault="00A40094" w:rsidP="00BD4FC9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A40094" w:rsidRPr="00637494" w:rsidRDefault="00283669" w:rsidP="00BD4FC9">
            <w:pPr>
              <w:cnfStyle w:val="000000000000"/>
            </w:pPr>
            <w:r>
              <w:t xml:space="preserve">Prezentációk </w:t>
            </w:r>
          </w:p>
        </w:tc>
        <w:tc>
          <w:tcPr>
            <w:tcW w:w="1600" w:type="dxa"/>
          </w:tcPr>
          <w:p w:rsidR="00A40094" w:rsidRPr="00637494" w:rsidRDefault="00FA6F99" w:rsidP="00BD4FC9">
            <w:pPr>
              <w:cnfStyle w:val="000000000000"/>
            </w:pPr>
            <w:r>
              <w:t>2025.03.04.</w:t>
            </w:r>
          </w:p>
        </w:tc>
      </w:tr>
      <w:tr w:rsidR="00637494" w:rsidRPr="00283669" w:rsidTr="007265C2">
        <w:trPr>
          <w:cnfStyle w:val="000000100000"/>
        </w:trPr>
        <w:tc>
          <w:tcPr>
            <w:cnfStyle w:val="001000000000"/>
            <w:tcW w:w="711" w:type="dxa"/>
          </w:tcPr>
          <w:p w:rsidR="00EC5287" w:rsidRPr="00283669" w:rsidRDefault="00A40094" w:rsidP="00576376">
            <w:pPr>
              <w:rPr>
                <w:rFonts w:ascii="Century Gothic" w:hAnsi="Century Gothic"/>
              </w:rPr>
            </w:pPr>
            <w:r w:rsidRPr="00283669">
              <w:rPr>
                <w:rFonts w:ascii="Century Gothic" w:hAnsi="Century Gothic"/>
              </w:rPr>
              <w:t>6</w:t>
            </w:r>
            <w:r w:rsidR="00EC5287" w:rsidRPr="00283669">
              <w:rPr>
                <w:rFonts w:ascii="Century Gothic" w:hAnsi="Century Gothic"/>
              </w:rPr>
              <w:t>.</w:t>
            </w:r>
          </w:p>
        </w:tc>
        <w:tc>
          <w:tcPr>
            <w:tcW w:w="4070" w:type="dxa"/>
          </w:tcPr>
          <w:p w:rsidR="00EC5287" w:rsidRPr="00283669" w:rsidRDefault="00283669" w:rsidP="007265C2">
            <w:pPr>
              <w:cnfStyle w:val="000000100000"/>
              <w:rPr>
                <w:rFonts w:ascii="Century Gothic" w:hAnsi="Century Gothic"/>
                <w:color w:val="auto"/>
              </w:rPr>
            </w:pPr>
            <w:r w:rsidRPr="00283669">
              <w:rPr>
                <w:rFonts w:ascii="Century Gothic" w:hAnsi="Century Gothic"/>
                <w:color w:val="auto"/>
              </w:rPr>
              <w:t>Az arab világ építészete Ázsiától Afrikáig</w:t>
            </w:r>
          </w:p>
        </w:tc>
        <w:tc>
          <w:tcPr>
            <w:tcW w:w="2126" w:type="dxa"/>
          </w:tcPr>
          <w:p w:rsidR="00EC5287" w:rsidRPr="00283669" w:rsidRDefault="007719CD" w:rsidP="00BD4FC9">
            <w:pPr>
              <w:cnfStyle w:val="000000100000"/>
              <w:rPr>
                <w:rFonts w:ascii="Century Gothic" w:hAnsi="Century Gothic"/>
              </w:rPr>
            </w:pPr>
            <w:r w:rsidRPr="00283669">
              <w:rPr>
                <w:rFonts w:ascii="Century Gothic" w:hAnsi="Century Gothic" w:cstheme="minorHAnsi"/>
              </w:rPr>
              <w:t>[2.]</w:t>
            </w:r>
          </w:p>
        </w:tc>
        <w:tc>
          <w:tcPr>
            <w:tcW w:w="1843" w:type="dxa"/>
          </w:tcPr>
          <w:p w:rsidR="00EC5287" w:rsidRPr="00283669" w:rsidRDefault="00EC5287" w:rsidP="00BD4FC9">
            <w:pPr>
              <w:cnfStyle w:val="000000100000"/>
              <w:rPr>
                <w:rFonts w:ascii="Century Gothic" w:hAnsi="Century Gothic"/>
              </w:rPr>
            </w:pPr>
          </w:p>
        </w:tc>
        <w:tc>
          <w:tcPr>
            <w:tcW w:w="1600" w:type="dxa"/>
          </w:tcPr>
          <w:p w:rsidR="00EC5287" w:rsidRPr="00283669" w:rsidRDefault="00EC5287" w:rsidP="00BD4FC9">
            <w:pPr>
              <w:cnfStyle w:val="000000100000"/>
              <w:rPr>
                <w:rFonts w:ascii="Century Gothic" w:hAnsi="Century Gothic"/>
              </w:rPr>
            </w:pPr>
          </w:p>
        </w:tc>
      </w:tr>
      <w:tr w:rsidR="00637494" w:rsidRPr="00637494" w:rsidTr="007265C2">
        <w:tc>
          <w:tcPr>
            <w:cnfStyle w:val="001000000000"/>
            <w:tcW w:w="711" w:type="dxa"/>
          </w:tcPr>
          <w:p w:rsidR="00EC5287" w:rsidRPr="00637494" w:rsidRDefault="00283669" w:rsidP="00576376">
            <w:r>
              <w:t>7</w:t>
            </w:r>
            <w:r w:rsidR="00EC5287" w:rsidRPr="00637494">
              <w:t>.</w:t>
            </w:r>
          </w:p>
        </w:tc>
        <w:tc>
          <w:tcPr>
            <w:tcW w:w="4070" w:type="dxa"/>
          </w:tcPr>
          <w:p w:rsidR="00EC5287" w:rsidRPr="00283669" w:rsidRDefault="00283669" w:rsidP="007265C2">
            <w:pPr>
              <w:pStyle w:val="western"/>
              <w:spacing w:after="119" w:line="240" w:lineRule="auto"/>
              <w:jc w:val="both"/>
              <w:cnfStyle w:val="000000000000"/>
              <w:rPr>
                <w:color w:val="auto"/>
                <w:sz w:val="20"/>
                <w:szCs w:val="20"/>
              </w:rPr>
            </w:pPr>
            <w:r w:rsidRPr="00283669">
              <w:rPr>
                <w:rFonts w:ascii="Century Gothic" w:hAnsi="Century Gothic"/>
                <w:color w:val="auto"/>
                <w:sz w:val="20"/>
                <w:szCs w:val="20"/>
              </w:rPr>
              <w:t xml:space="preserve">Különleges stílusok Európa </w:t>
            </w:r>
            <w:proofErr w:type="spellStart"/>
            <w:r w:rsidRPr="00283669">
              <w:rPr>
                <w:rFonts w:ascii="Century Gothic" w:hAnsi="Century Gothic"/>
                <w:color w:val="auto"/>
                <w:sz w:val="20"/>
                <w:szCs w:val="20"/>
              </w:rPr>
              <w:t>félperifériáján</w:t>
            </w:r>
            <w:proofErr w:type="spellEnd"/>
            <w:r w:rsidRPr="00283669">
              <w:rPr>
                <w:rFonts w:ascii="Century Gothic" w:hAnsi="Century Gothic"/>
                <w:color w:val="auto"/>
                <w:sz w:val="20"/>
                <w:szCs w:val="20"/>
              </w:rPr>
              <w:t xml:space="preserve">. Spanyolországban és Portugáliában: </w:t>
            </w:r>
            <w:proofErr w:type="spellStart"/>
            <w:r w:rsidRPr="00283669">
              <w:rPr>
                <w:rFonts w:ascii="Century Gothic" w:hAnsi="Century Gothic"/>
                <w:color w:val="auto"/>
                <w:sz w:val="20"/>
                <w:szCs w:val="20"/>
              </w:rPr>
              <w:t>Mudéjar</w:t>
            </w:r>
            <w:proofErr w:type="spellEnd"/>
            <w:r w:rsidRPr="00283669">
              <w:rPr>
                <w:rFonts w:ascii="Century Gothic" w:hAnsi="Century Gothic"/>
                <w:color w:val="auto"/>
                <w:sz w:val="20"/>
                <w:szCs w:val="20"/>
              </w:rPr>
              <w:t xml:space="preserve">, Izabella-stílus, </w:t>
            </w:r>
            <w:proofErr w:type="spellStart"/>
            <w:r w:rsidRPr="00283669">
              <w:rPr>
                <w:rFonts w:ascii="Century Gothic" w:hAnsi="Century Gothic"/>
                <w:color w:val="auto"/>
                <w:sz w:val="20"/>
                <w:szCs w:val="20"/>
              </w:rPr>
              <w:t>platereszk</w:t>
            </w:r>
            <w:proofErr w:type="spellEnd"/>
            <w:r w:rsidRPr="00283669">
              <w:rPr>
                <w:rFonts w:ascii="Century Gothic" w:hAnsi="Century Gothic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83669">
              <w:rPr>
                <w:rFonts w:ascii="Century Gothic" w:hAnsi="Century Gothic"/>
                <w:color w:val="auto"/>
                <w:sz w:val="20"/>
                <w:szCs w:val="20"/>
              </w:rPr>
              <w:t>churriguerizmus</w:t>
            </w:r>
            <w:proofErr w:type="spellEnd"/>
            <w:r w:rsidRPr="00283669">
              <w:rPr>
                <w:rFonts w:ascii="Century Gothic" w:hAnsi="Century Gothic"/>
                <w:color w:val="auto"/>
                <w:sz w:val="20"/>
                <w:szCs w:val="20"/>
              </w:rPr>
              <w:t xml:space="preserve">, Manuel-stílus. </w:t>
            </w:r>
            <w:proofErr w:type="spellStart"/>
            <w:r w:rsidRPr="00283669">
              <w:rPr>
                <w:rFonts w:ascii="Century Gothic" w:hAnsi="Century Gothic"/>
                <w:color w:val="auto"/>
                <w:sz w:val="20"/>
                <w:szCs w:val="20"/>
              </w:rPr>
              <w:t>Mudéjar</w:t>
            </w:r>
            <w:proofErr w:type="spellEnd"/>
            <w:r w:rsidRPr="00283669">
              <w:rPr>
                <w:rFonts w:ascii="Century Gothic" w:hAnsi="Century Gothic"/>
                <w:color w:val="auto"/>
                <w:sz w:val="20"/>
                <w:szCs w:val="20"/>
              </w:rPr>
              <w:t xml:space="preserve"> a tengerentúlon</w:t>
            </w:r>
          </w:p>
        </w:tc>
        <w:tc>
          <w:tcPr>
            <w:tcW w:w="2126" w:type="dxa"/>
          </w:tcPr>
          <w:p w:rsidR="00EC5287" w:rsidRPr="00637494" w:rsidRDefault="00EC5287" w:rsidP="00BD4FC9">
            <w:pPr>
              <w:cnfStyle w:val="000000000000"/>
            </w:pPr>
          </w:p>
        </w:tc>
        <w:tc>
          <w:tcPr>
            <w:tcW w:w="1843" w:type="dxa"/>
          </w:tcPr>
          <w:p w:rsidR="00EC5287" w:rsidRPr="00637494" w:rsidRDefault="00EC5287" w:rsidP="00BD4FC9">
            <w:pPr>
              <w:cnfStyle w:val="000000000000"/>
            </w:pPr>
          </w:p>
        </w:tc>
        <w:tc>
          <w:tcPr>
            <w:tcW w:w="1600" w:type="dxa"/>
          </w:tcPr>
          <w:p w:rsidR="00EC5287" w:rsidRPr="00637494" w:rsidRDefault="00EC5287" w:rsidP="00BD4FC9">
            <w:pPr>
              <w:cnfStyle w:val="000000000000"/>
            </w:pPr>
          </w:p>
        </w:tc>
      </w:tr>
      <w:tr w:rsidR="00A40094" w:rsidRPr="00637494" w:rsidTr="007265C2">
        <w:trPr>
          <w:cnfStyle w:val="000000100000"/>
        </w:trPr>
        <w:tc>
          <w:tcPr>
            <w:cnfStyle w:val="001000000000"/>
            <w:tcW w:w="711" w:type="dxa"/>
          </w:tcPr>
          <w:p w:rsidR="00A40094" w:rsidRPr="00637494" w:rsidRDefault="00283669" w:rsidP="00576376">
            <w:r>
              <w:t>8</w:t>
            </w:r>
            <w:r w:rsidR="00A40094">
              <w:t>.</w:t>
            </w:r>
          </w:p>
        </w:tc>
        <w:tc>
          <w:tcPr>
            <w:tcW w:w="4070" w:type="dxa"/>
          </w:tcPr>
          <w:p w:rsidR="00A40094" w:rsidRPr="00C213D2" w:rsidRDefault="00283669" w:rsidP="007265C2">
            <w:pPr>
              <w:pStyle w:val="western"/>
              <w:spacing w:after="119" w:line="240" w:lineRule="auto"/>
              <w:jc w:val="both"/>
              <w:cnfStyle w:val="000000100000"/>
              <w:rPr>
                <w:rFonts w:ascii="Century Gothic" w:hAnsi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color w:val="auto"/>
                <w:sz w:val="20"/>
                <w:szCs w:val="20"/>
              </w:rPr>
              <w:t>Magyarország oszmán építészete</w:t>
            </w:r>
          </w:p>
        </w:tc>
        <w:tc>
          <w:tcPr>
            <w:tcW w:w="2126" w:type="dxa"/>
          </w:tcPr>
          <w:p w:rsidR="00A40094" w:rsidRDefault="00A40094" w:rsidP="00BD4FC9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A40094" w:rsidRPr="00637494" w:rsidRDefault="00A40094" w:rsidP="00BD4FC9">
            <w:pPr>
              <w:cnfStyle w:val="000000100000"/>
            </w:pPr>
          </w:p>
        </w:tc>
        <w:tc>
          <w:tcPr>
            <w:tcW w:w="1600" w:type="dxa"/>
          </w:tcPr>
          <w:p w:rsidR="00A40094" w:rsidRPr="00637494" w:rsidRDefault="00A40094" w:rsidP="00BD4FC9">
            <w:pPr>
              <w:cnfStyle w:val="000000100000"/>
            </w:pPr>
          </w:p>
        </w:tc>
      </w:tr>
      <w:tr w:rsidR="00CB4E10" w:rsidRPr="00637494" w:rsidTr="007265C2">
        <w:tc>
          <w:tcPr>
            <w:cnfStyle w:val="001000000000"/>
            <w:tcW w:w="711" w:type="dxa"/>
          </w:tcPr>
          <w:p w:rsidR="00CB4E10" w:rsidRPr="00637494" w:rsidRDefault="00CB4E10" w:rsidP="00576376">
            <w:r>
              <w:t>9</w:t>
            </w:r>
            <w:r w:rsidRPr="00637494">
              <w:t>.</w:t>
            </w:r>
          </w:p>
        </w:tc>
        <w:tc>
          <w:tcPr>
            <w:tcW w:w="4070" w:type="dxa"/>
          </w:tcPr>
          <w:p w:rsidR="00CB4E10" w:rsidRDefault="00FA6F99" w:rsidP="00D83BBE">
            <w:pPr>
              <w:cnfStyle w:val="0000000000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Hallgatói</w:t>
            </w:r>
            <w:r w:rsidR="00CB4E10">
              <w:rPr>
                <w:rFonts w:ascii="Century Gothic" w:hAnsi="Century Gothic"/>
              </w:rPr>
              <w:t xml:space="preserve"> prezentáció</w:t>
            </w:r>
            <w:r>
              <w:rPr>
                <w:rFonts w:ascii="Century Gothic" w:hAnsi="Century Gothic"/>
              </w:rPr>
              <w:t>k</w:t>
            </w:r>
            <w:r w:rsidR="00CB4E10">
              <w:rPr>
                <w:rFonts w:ascii="Century Gothic" w:hAnsi="Century Gothic"/>
              </w:rPr>
              <w:t>: arab világ</w:t>
            </w:r>
          </w:p>
          <w:p w:rsidR="00CB4E10" w:rsidRPr="00C213D2" w:rsidRDefault="00CB4E10" w:rsidP="00D83BBE">
            <w:pPr>
              <w:cnfStyle w:val="000000000000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:rsidR="00CB4E10" w:rsidRPr="00E72530" w:rsidRDefault="00E444F0" w:rsidP="00D83BBE">
            <w:pPr>
              <w:cnfStyle w:val="000000000000"/>
              <w:rPr>
                <w:rFonts w:cstheme="minorHAnsi"/>
              </w:rPr>
            </w:pPr>
            <w:r w:rsidRPr="00D30089">
              <w:rPr>
                <w:b/>
                <w:highlight w:val="yellow"/>
              </w:rPr>
              <w:t>Pollack Expón részvétel 2 kreditpont</w:t>
            </w:r>
          </w:p>
        </w:tc>
        <w:tc>
          <w:tcPr>
            <w:tcW w:w="1843" w:type="dxa"/>
          </w:tcPr>
          <w:p w:rsidR="00CB4E10" w:rsidRPr="00637494" w:rsidRDefault="00CB4E10" w:rsidP="00D83BBE">
            <w:pPr>
              <w:cnfStyle w:val="000000000000"/>
            </w:pPr>
            <w:r>
              <w:t xml:space="preserve">Prezentációk </w:t>
            </w:r>
          </w:p>
        </w:tc>
        <w:tc>
          <w:tcPr>
            <w:tcW w:w="1600" w:type="dxa"/>
          </w:tcPr>
          <w:p w:rsidR="00CB4E10" w:rsidRPr="00637494" w:rsidRDefault="00FA6F99" w:rsidP="00BD4FC9">
            <w:pPr>
              <w:cnfStyle w:val="000000000000"/>
            </w:pPr>
            <w:r>
              <w:t>2025.04.01.</w:t>
            </w:r>
          </w:p>
        </w:tc>
      </w:tr>
      <w:tr w:rsidR="00283669" w:rsidRPr="00637494" w:rsidTr="007265C2">
        <w:trPr>
          <w:cnfStyle w:val="000000100000"/>
        </w:trPr>
        <w:tc>
          <w:tcPr>
            <w:cnfStyle w:val="001000000000"/>
            <w:tcW w:w="711" w:type="dxa"/>
          </w:tcPr>
          <w:p w:rsidR="00283669" w:rsidRPr="00637494" w:rsidRDefault="00283669" w:rsidP="00576376">
            <w:r>
              <w:t>10.</w:t>
            </w:r>
          </w:p>
        </w:tc>
        <w:tc>
          <w:tcPr>
            <w:tcW w:w="4070" w:type="dxa"/>
          </w:tcPr>
          <w:p w:rsidR="00283669" w:rsidRDefault="00FA6F99" w:rsidP="00283669">
            <w:pPr>
              <w:cnfStyle w:val="0000001000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Hallgatói</w:t>
            </w:r>
            <w:r w:rsidR="00283669">
              <w:rPr>
                <w:rFonts w:ascii="Century Gothic" w:hAnsi="Century Gothic"/>
              </w:rPr>
              <w:t xml:space="preserve"> prezentáció</w:t>
            </w:r>
            <w:r>
              <w:rPr>
                <w:rFonts w:ascii="Century Gothic" w:hAnsi="Century Gothic"/>
              </w:rPr>
              <w:t>k</w:t>
            </w:r>
            <w:r w:rsidR="00283669">
              <w:rPr>
                <w:rFonts w:ascii="Century Gothic" w:hAnsi="Century Gothic"/>
              </w:rPr>
              <w:t>: arab világ</w:t>
            </w:r>
          </w:p>
          <w:p w:rsidR="00283669" w:rsidRPr="00C213D2" w:rsidRDefault="00283669" w:rsidP="00283669">
            <w:pPr>
              <w:cnfStyle w:val="000000100000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:rsidR="00283669" w:rsidRPr="00E72530" w:rsidRDefault="00283669" w:rsidP="00283669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283669" w:rsidRPr="00637494" w:rsidRDefault="00283669" w:rsidP="00283669">
            <w:pPr>
              <w:cnfStyle w:val="000000100000"/>
            </w:pPr>
            <w:r>
              <w:t xml:space="preserve">Prezentációk </w:t>
            </w:r>
          </w:p>
        </w:tc>
        <w:tc>
          <w:tcPr>
            <w:tcW w:w="1600" w:type="dxa"/>
          </w:tcPr>
          <w:p w:rsidR="00283669" w:rsidRPr="00637494" w:rsidRDefault="00FA6F99" w:rsidP="00BD4FC9">
            <w:pPr>
              <w:cnfStyle w:val="000000100000"/>
            </w:pPr>
            <w:r>
              <w:t>2025.04.08.</w:t>
            </w:r>
          </w:p>
        </w:tc>
      </w:tr>
      <w:tr w:rsidR="00283669" w:rsidRPr="00637494" w:rsidTr="007265C2">
        <w:tc>
          <w:tcPr>
            <w:cnfStyle w:val="001000000000"/>
            <w:tcW w:w="711" w:type="dxa"/>
          </w:tcPr>
          <w:p w:rsidR="00283669" w:rsidRPr="00637494" w:rsidRDefault="00283669" w:rsidP="00283669">
            <w:r>
              <w:t>11</w:t>
            </w:r>
            <w:r w:rsidRPr="00637494">
              <w:t>.</w:t>
            </w:r>
          </w:p>
        </w:tc>
        <w:tc>
          <w:tcPr>
            <w:tcW w:w="4070" w:type="dxa"/>
          </w:tcPr>
          <w:p w:rsidR="00283669" w:rsidRPr="00C213D2" w:rsidRDefault="00283669" w:rsidP="003258E3">
            <w:pPr>
              <w:pStyle w:val="western"/>
              <w:spacing w:after="119" w:line="240" w:lineRule="auto"/>
              <w:jc w:val="both"/>
              <w:cnfStyle w:val="000000000000"/>
              <w:rPr>
                <w:color w:val="auto"/>
              </w:rPr>
            </w:pPr>
            <w:r w:rsidRPr="00C213D2">
              <w:rPr>
                <w:rFonts w:ascii="Century Gothic" w:hAnsi="Century Gothic"/>
                <w:color w:val="auto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entury Gothic" w:hAnsi="Century Gothic"/>
                <w:color w:val="auto"/>
                <w:sz w:val="20"/>
                <w:szCs w:val="20"/>
              </w:rPr>
              <w:t>romanika</w:t>
            </w:r>
            <w:proofErr w:type="spellEnd"/>
            <w:r>
              <w:rPr>
                <w:rFonts w:ascii="Century Gothic" w:hAnsi="Century Gothic"/>
                <w:color w:val="auto"/>
                <w:sz w:val="20"/>
                <w:szCs w:val="20"/>
              </w:rPr>
              <w:t xml:space="preserve"> és a gótika jelenléte Európa országaiban. </w:t>
            </w:r>
            <w:r w:rsidR="003258E3">
              <w:rPr>
                <w:rFonts w:ascii="Century Gothic" w:hAnsi="Century Gothic"/>
                <w:color w:val="auto"/>
                <w:sz w:val="20"/>
                <w:szCs w:val="20"/>
              </w:rPr>
              <w:t xml:space="preserve">Alberti és </w:t>
            </w:r>
            <w:proofErr w:type="spellStart"/>
            <w:r w:rsidR="003258E3">
              <w:rPr>
                <w:rFonts w:ascii="Century Gothic" w:hAnsi="Century Gothic"/>
                <w:color w:val="auto"/>
                <w:sz w:val="20"/>
                <w:szCs w:val="20"/>
              </w:rPr>
              <w:t>Palladio</w:t>
            </w:r>
            <w:proofErr w:type="spellEnd"/>
            <w:r w:rsidR="003258E3">
              <w:rPr>
                <w:rFonts w:ascii="Century Gothic" w:hAnsi="Century Gothic"/>
                <w:color w:val="auto"/>
                <w:sz w:val="20"/>
                <w:szCs w:val="20"/>
              </w:rPr>
              <w:t xml:space="preserve"> gondolatai a reneszánszban</w:t>
            </w:r>
          </w:p>
        </w:tc>
        <w:tc>
          <w:tcPr>
            <w:tcW w:w="2126" w:type="dxa"/>
          </w:tcPr>
          <w:p w:rsidR="00283669" w:rsidRPr="00637494" w:rsidRDefault="00283669" w:rsidP="00283669">
            <w:pPr>
              <w:cnfStyle w:val="000000000000"/>
            </w:pPr>
            <w:r>
              <w:rPr>
                <w:rFonts w:cstheme="minorHAnsi"/>
              </w:rPr>
              <w:t>[3.]</w:t>
            </w:r>
          </w:p>
        </w:tc>
        <w:tc>
          <w:tcPr>
            <w:tcW w:w="1843" w:type="dxa"/>
          </w:tcPr>
          <w:p w:rsidR="00283669" w:rsidRPr="00637494" w:rsidRDefault="00283669" w:rsidP="00BD4FC9">
            <w:pPr>
              <w:cnfStyle w:val="000000000000"/>
            </w:pPr>
          </w:p>
        </w:tc>
        <w:tc>
          <w:tcPr>
            <w:tcW w:w="1600" w:type="dxa"/>
          </w:tcPr>
          <w:p w:rsidR="00283669" w:rsidRPr="00637494" w:rsidRDefault="00283669" w:rsidP="00BD4FC9">
            <w:pPr>
              <w:cnfStyle w:val="000000000000"/>
            </w:pPr>
          </w:p>
        </w:tc>
      </w:tr>
      <w:tr w:rsidR="00283669" w:rsidRPr="00CB4E10" w:rsidTr="007265C2">
        <w:trPr>
          <w:cnfStyle w:val="000000100000"/>
        </w:trPr>
        <w:tc>
          <w:tcPr>
            <w:cnfStyle w:val="001000000000"/>
            <w:tcW w:w="711" w:type="dxa"/>
          </w:tcPr>
          <w:p w:rsidR="00283669" w:rsidRPr="00CB4E10" w:rsidRDefault="00283669" w:rsidP="00283669">
            <w:pPr>
              <w:rPr>
                <w:b/>
              </w:rPr>
            </w:pPr>
            <w:r w:rsidRPr="00CB4E10">
              <w:rPr>
                <w:b/>
              </w:rPr>
              <w:t>12.</w:t>
            </w:r>
          </w:p>
        </w:tc>
        <w:tc>
          <w:tcPr>
            <w:tcW w:w="4070" w:type="dxa"/>
          </w:tcPr>
          <w:p w:rsidR="00283669" w:rsidRPr="00CB4E10" w:rsidRDefault="00283669" w:rsidP="00283669">
            <w:pPr>
              <w:cnfStyle w:val="000000100000"/>
              <w:rPr>
                <w:b/>
                <w:i/>
                <w:color w:val="auto"/>
              </w:rPr>
            </w:pPr>
            <w:r w:rsidRPr="00CB4E10">
              <w:rPr>
                <w:b/>
                <w:i/>
                <w:color w:val="auto"/>
              </w:rPr>
              <w:t>TAVASZI SZÜNET</w:t>
            </w:r>
          </w:p>
        </w:tc>
        <w:tc>
          <w:tcPr>
            <w:tcW w:w="2126" w:type="dxa"/>
          </w:tcPr>
          <w:p w:rsidR="00283669" w:rsidRPr="00CB4E10" w:rsidRDefault="00283669" w:rsidP="00BD4FC9">
            <w:pPr>
              <w:cnfStyle w:val="000000100000"/>
              <w:rPr>
                <w:b/>
                <w:i/>
              </w:rPr>
            </w:pPr>
          </w:p>
        </w:tc>
        <w:tc>
          <w:tcPr>
            <w:tcW w:w="1843" w:type="dxa"/>
          </w:tcPr>
          <w:p w:rsidR="00283669" w:rsidRPr="00CB4E10" w:rsidRDefault="00283669" w:rsidP="00BD4FC9">
            <w:pPr>
              <w:cnfStyle w:val="000000100000"/>
              <w:rPr>
                <w:b/>
                <w:i/>
              </w:rPr>
            </w:pPr>
          </w:p>
        </w:tc>
        <w:tc>
          <w:tcPr>
            <w:tcW w:w="1600" w:type="dxa"/>
          </w:tcPr>
          <w:p w:rsidR="00283669" w:rsidRPr="00CB4E10" w:rsidRDefault="00283669" w:rsidP="00BD4FC9">
            <w:pPr>
              <w:cnfStyle w:val="000000100000"/>
              <w:rPr>
                <w:b/>
                <w:i/>
              </w:rPr>
            </w:pPr>
          </w:p>
        </w:tc>
      </w:tr>
      <w:tr w:rsidR="00283669" w:rsidRPr="00637494" w:rsidTr="007265C2">
        <w:tc>
          <w:tcPr>
            <w:cnfStyle w:val="001000000000"/>
            <w:tcW w:w="711" w:type="dxa"/>
          </w:tcPr>
          <w:p w:rsidR="00283669" w:rsidRPr="00637494" w:rsidRDefault="00283669" w:rsidP="00283669">
            <w:r w:rsidRPr="00637494">
              <w:t>1</w:t>
            </w:r>
            <w:r>
              <w:t>3</w:t>
            </w:r>
            <w:r w:rsidRPr="00637494">
              <w:t>.</w:t>
            </w:r>
          </w:p>
        </w:tc>
        <w:tc>
          <w:tcPr>
            <w:tcW w:w="4070" w:type="dxa"/>
          </w:tcPr>
          <w:p w:rsidR="00283669" w:rsidRPr="00C213D2" w:rsidRDefault="00283669" w:rsidP="00283669">
            <w:pPr>
              <w:cnfStyle w:val="000000000000"/>
              <w:rPr>
                <w:color w:val="auto"/>
              </w:rPr>
            </w:pPr>
            <w:r w:rsidRPr="00C213D2">
              <w:rPr>
                <w:rFonts w:ascii="Century Gothic" w:hAnsi="Century Gothic"/>
                <w:color w:val="auto"/>
              </w:rPr>
              <w:t xml:space="preserve">A barokk építészet sajátosságai Európában. Katolikus és nem katolikus országok összehasonlítása. </w:t>
            </w:r>
            <w:r>
              <w:rPr>
                <w:rFonts w:ascii="Century Gothic" w:hAnsi="Century Gothic"/>
                <w:color w:val="auto"/>
              </w:rPr>
              <w:t xml:space="preserve">Európai körkép, és </w:t>
            </w:r>
            <w:r w:rsidRPr="00C213D2">
              <w:rPr>
                <w:rFonts w:ascii="Century Gothic" w:hAnsi="Century Gothic"/>
                <w:color w:val="auto"/>
              </w:rPr>
              <w:t>tengerentúl</w:t>
            </w:r>
            <w:r>
              <w:rPr>
                <w:rFonts w:ascii="Century Gothic" w:hAnsi="Century Gothic"/>
                <w:color w:val="auto"/>
              </w:rPr>
              <w:t>i kitekintés</w:t>
            </w:r>
          </w:p>
        </w:tc>
        <w:tc>
          <w:tcPr>
            <w:tcW w:w="2126" w:type="dxa"/>
          </w:tcPr>
          <w:p w:rsidR="00283669" w:rsidRPr="00637494" w:rsidRDefault="00283669" w:rsidP="00283669">
            <w:pPr>
              <w:cnfStyle w:val="000000000000"/>
            </w:pPr>
            <w:r>
              <w:rPr>
                <w:rFonts w:cstheme="minorHAnsi"/>
              </w:rPr>
              <w:t>[4.]</w:t>
            </w:r>
          </w:p>
        </w:tc>
        <w:tc>
          <w:tcPr>
            <w:tcW w:w="1843" w:type="dxa"/>
          </w:tcPr>
          <w:p w:rsidR="00283669" w:rsidRPr="00637494" w:rsidRDefault="00283669" w:rsidP="00BD4FC9">
            <w:pPr>
              <w:cnfStyle w:val="000000000000"/>
            </w:pPr>
          </w:p>
        </w:tc>
        <w:tc>
          <w:tcPr>
            <w:tcW w:w="1600" w:type="dxa"/>
          </w:tcPr>
          <w:p w:rsidR="00283669" w:rsidRPr="00637494" w:rsidRDefault="00283669" w:rsidP="00BD4FC9">
            <w:pPr>
              <w:cnfStyle w:val="000000000000"/>
            </w:pPr>
          </w:p>
        </w:tc>
      </w:tr>
      <w:tr w:rsidR="00283669" w:rsidRPr="00637494" w:rsidTr="007265C2">
        <w:trPr>
          <w:cnfStyle w:val="000000100000"/>
        </w:trPr>
        <w:tc>
          <w:tcPr>
            <w:cnfStyle w:val="001000000000"/>
            <w:tcW w:w="711" w:type="dxa"/>
          </w:tcPr>
          <w:p w:rsidR="00283669" w:rsidRPr="00637494" w:rsidRDefault="00283669" w:rsidP="0076517B">
            <w:r w:rsidRPr="00637494">
              <w:lastRenderedPageBreak/>
              <w:t>1</w:t>
            </w:r>
            <w:r>
              <w:t>4</w:t>
            </w:r>
            <w:r w:rsidRPr="00637494">
              <w:t>.</w:t>
            </w:r>
          </w:p>
        </w:tc>
        <w:tc>
          <w:tcPr>
            <w:tcW w:w="4070" w:type="dxa"/>
          </w:tcPr>
          <w:p w:rsidR="00283669" w:rsidRDefault="00FA6F99" w:rsidP="00283669">
            <w:pPr>
              <w:cnfStyle w:val="0000001000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Hallgatói</w:t>
            </w:r>
            <w:r w:rsidR="00283669">
              <w:rPr>
                <w:rFonts w:ascii="Century Gothic" w:hAnsi="Century Gothic"/>
              </w:rPr>
              <w:t xml:space="preserve"> prezentáció</w:t>
            </w:r>
            <w:r>
              <w:rPr>
                <w:rFonts w:ascii="Century Gothic" w:hAnsi="Century Gothic"/>
              </w:rPr>
              <w:t>k</w:t>
            </w:r>
            <w:r w:rsidR="00283669">
              <w:rPr>
                <w:rFonts w:ascii="Century Gothic" w:hAnsi="Century Gothic"/>
              </w:rPr>
              <w:t xml:space="preserve">: </w:t>
            </w:r>
            <w:proofErr w:type="spellStart"/>
            <w:r w:rsidR="00283669">
              <w:rPr>
                <w:rFonts w:ascii="Century Gothic" w:hAnsi="Century Gothic"/>
              </w:rPr>
              <w:t>romanika</w:t>
            </w:r>
            <w:proofErr w:type="spellEnd"/>
            <w:r w:rsidR="00283669">
              <w:rPr>
                <w:rFonts w:ascii="Century Gothic" w:hAnsi="Century Gothic"/>
              </w:rPr>
              <w:t>, gótika, reneszánsz, barokk</w:t>
            </w:r>
          </w:p>
          <w:p w:rsidR="00283669" w:rsidRPr="00C213D2" w:rsidRDefault="00283669" w:rsidP="00283669">
            <w:pPr>
              <w:cnfStyle w:val="000000100000"/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:rsidR="00283669" w:rsidRPr="00E72530" w:rsidRDefault="00283669" w:rsidP="00283669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283669" w:rsidRPr="00637494" w:rsidRDefault="00283669" w:rsidP="00283669">
            <w:pPr>
              <w:cnfStyle w:val="000000100000"/>
            </w:pPr>
            <w:r>
              <w:t xml:space="preserve">Prezentációk </w:t>
            </w:r>
          </w:p>
        </w:tc>
        <w:tc>
          <w:tcPr>
            <w:tcW w:w="1600" w:type="dxa"/>
          </w:tcPr>
          <w:p w:rsidR="00283669" w:rsidRPr="00637494" w:rsidRDefault="00FA6F99" w:rsidP="00BD4FC9">
            <w:pPr>
              <w:cnfStyle w:val="000000100000"/>
            </w:pPr>
            <w:r>
              <w:t>2025.05.06.</w:t>
            </w:r>
          </w:p>
        </w:tc>
      </w:tr>
    </w:tbl>
    <w:p w:rsidR="00576376" w:rsidRDefault="00576376" w:rsidP="00576376">
      <w:pPr>
        <w:rPr>
          <w:lang w:val="en-US"/>
        </w:rPr>
      </w:pPr>
    </w:p>
    <w:p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t>Számonkérési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és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:rsidR="00744428" w:rsidRDefault="00744428" w:rsidP="00576376">
      <w:pPr>
        <w:rPr>
          <w:lang w:val="en-US"/>
        </w:rPr>
      </w:pPr>
    </w:p>
    <w:p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Jelenléti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és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részvételi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követelmények</w:t>
      </w:r>
      <w:proofErr w:type="spellEnd"/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:rsidR="00AB6177" w:rsidRPr="003E046B" w:rsidRDefault="00AB6177" w:rsidP="00AB6177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Pr="003E046B">
        <w:rPr>
          <w:i/>
          <w:iCs/>
          <w:sz w:val="16"/>
          <w:szCs w:val="16"/>
        </w:rPr>
        <w:t xml:space="preserve">PTE </w:t>
      </w:r>
      <w:proofErr w:type="spellStart"/>
      <w:r w:rsidRPr="003E046B">
        <w:rPr>
          <w:i/>
          <w:iCs/>
          <w:sz w:val="16"/>
          <w:szCs w:val="16"/>
        </w:rPr>
        <w:t>TVSz</w:t>
      </w:r>
      <w:proofErr w:type="spellEnd"/>
      <w:r w:rsidRPr="003E046B">
        <w:rPr>
          <w:i/>
          <w:iCs/>
          <w:sz w:val="16"/>
          <w:szCs w:val="16"/>
        </w:rPr>
        <w:t xml:space="preserve"> </w:t>
      </w:r>
      <w:r w:rsidRPr="003E046B">
        <w:rPr>
          <w:sz w:val="16"/>
          <w:szCs w:val="16"/>
        </w:rPr>
        <w:t>45.§ (2) és</w:t>
      </w:r>
      <w:r w:rsidRPr="003E046B">
        <w:rPr>
          <w:i/>
          <w:iCs/>
          <w:sz w:val="16"/>
          <w:szCs w:val="16"/>
        </w:rPr>
        <w:t xml:space="preserve"> 9. számú melléklet 3§ szabályozása szerint a hallgató számára az adott tárgyból érdemjegy, illetve minősítés szerzése csak abban az esetben tagadható meg hiányzás miatt, ha nappali </w:t>
      </w:r>
      <w:proofErr w:type="gramStart"/>
      <w:r w:rsidRPr="003E046B">
        <w:rPr>
          <w:i/>
          <w:iCs/>
          <w:sz w:val="16"/>
          <w:szCs w:val="16"/>
        </w:rPr>
        <w:t>tagozaton</w:t>
      </w:r>
      <w:proofErr w:type="gramEnd"/>
      <w:r w:rsidRPr="003E046B">
        <w:rPr>
          <w:i/>
          <w:iCs/>
          <w:sz w:val="16"/>
          <w:szCs w:val="16"/>
        </w:rPr>
        <w:t xml:space="preserve"> egy tantárgy esetén a tantárgyi tematikában előirányzott foglalkozások több mint 30%-áról hiányzott.</w:t>
      </w:r>
    </w:p>
    <w:p w:rsidR="00E15443" w:rsidRDefault="00E15443" w:rsidP="00E15443"/>
    <w:p w:rsidR="004348FE" w:rsidRPr="00C213D2" w:rsidRDefault="0074781F" w:rsidP="00C213D2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  <w:r w:rsidR="009321B4" w:rsidRPr="00637494">
        <w:rPr>
          <w:b/>
          <w:bCs/>
          <w:i/>
          <w:iCs/>
        </w:rPr>
        <w:t xml:space="preserve"> </w:t>
      </w:r>
    </w:p>
    <w:p w:rsidR="00983C30" w:rsidRPr="00E15443" w:rsidRDefault="00C213D2" w:rsidP="00E15443">
      <w:pPr>
        <w:shd w:val="clear" w:color="auto" w:fill="DFDFDF" w:themeFill="background2" w:themeFillShade="E6"/>
      </w:pPr>
      <w:proofErr w:type="gramStart"/>
      <w:r>
        <w:t>jelenléti</w:t>
      </w:r>
      <w:proofErr w:type="gramEnd"/>
      <w:r>
        <w:t xml:space="preserve"> ív</w:t>
      </w:r>
    </w:p>
    <w:p w:rsidR="00983C30" w:rsidRDefault="0031664E" w:rsidP="00E85CC5">
      <w:pPr>
        <w:pStyle w:val="Cmsor5"/>
        <w:keepNext/>
      </w:pPr>
      <w:proofErr w:type="spellStart"/>
      <w:r w:rsidRPr="00D50FBF">
        <w:rPr>
          <w:b/>
          <w:bCs/>
          <w:color w:val="auto"/>
          <w:u w:val="single"/>
          <w:lang w:val="en-US"/>
        </w:rPr>
        <w:t>Számonkérések</w:t>
      </w:r>
      <w:proofErr w:type="spellEnd"/>
      <w:r w:rsidR="005E2090" w:rsidRPr="00D50FBF">
        <w:rPr>
          <w:b/>
          <w:bCs/>
          <w:color w:val="auto"/>
          <w:u w:val="single"/>
          <w:lang w:val="en-US"/>
        </w:rPr>
        <w:t xml:space="preserve"> </w:t>
      </w:r>
    </w:p>
    <w:p w:rsidR="004A4EA6" w:rsidRPr="00252276" w:rsidRDefault="004A4EA6" w:rsidP="003E6E3D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</w:t>
      </w:r>
      <w:r w:rsidR="003E6E3D" w:rsidRPr="00252276">
        <w:rPr>
          <w:sz w:val="22"/>
          <w:szCs w:val="22"/>
        </w:rPr>
        <w:t>tan</w:t>
      </w:r>
      <w:r w:rsidRPr="00252276">
        <w:rPr>
          <w:sz w:val="22"/>
          <w:szCs w:val="22"/>
        </w:rPr>
        <w:t xml:space="preserve">tárgy </w:t>
      </w:r>
    </w:p>
    <w:p w:rsidR="001F4310" w:rsidRDefault="000C00CA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ellenőrzések, teljesítményértékelések és részarányuk a vizsgára bocsájtás feltételének minősítésben</w:t>
      </w:r>
      <w:r w:rsidR="00FF3333" w:rsidRPr="00637494">
        <w:rPr>
          <w:rStyle w:val="Finomkiemels"/>
          <w:b/>
          <w:bCs/>
        </w:rPr>
        <w:t xml:space="preserve"> </w:t>
      </w:r>
    </w:p>
    <w:tbl>
      <w:tblPr>
        <w:tblStyle w:val="GridTable1Light"/>
        <w:tblW w:w="8500" w:type="dxa"/>
        <w:tblInd w:w="704" w:type="dxa"/>
        <w:tblLook w:val="04A0"/>
      </w:tblPr>
      <w:tblGrid>
        <w:gridCol w:w="4869"/>
        <w:gridCol w:w="1648"/>
        <w:gridCol w:w="1983"/>
      </w:tblGrid>
      <w:tr w:rsidR="00637494" w:rsidRPr="00637494" w:rsidTr="00C112FF">
        <w:trPr>
          <w:cnfStyle w:val="100000000000"/>
        </w:trPr>
        <w:tc>
          <w:tcPr>
            <w:cnfStyle w:val="001000000000"/>
            <w:tcW w:w="4869" w:type="dxa"/>
            <w:vAlign w:val="center"/>
          </w:tcPr>
          <w:p w:rsidR="00F01068" w:rsidRPr="00637494" w:rsidRDefault="00DA4FE7" w:rsidP="00C112FF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</w:t>
            </w:r>
            <w:r w:rsidR="00F01068" w:rsidRPr="00637494">
              <w:t>ípus</w:t>
            </w:r>
          </w:p>
        </w:tc>
        <w:tc>
          <w:tcPr>
            <w:tcW w:w="1648" w:type="dxa"/>
            <w:vAlign w:val="center"/>
          </w:tcPr>
          <w:p w:rsidR="00F01068" w:rsidRPr="00637494" w:rsidRDefault="00F01068" w:rsidP="00C112FF">
            <w:pPr>
              <w:ind w:left="851" w:hanging="851"/>
              <w:jc w:val="center"/>
              <w:cnfStyle w:val="10000000000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1983" w:type="dxa"/>
            <w:vAlign w:val="center"/>
          </w:tcPr>
          <w:p w:rsidR="00F01068" w:rsidRPr="00637494" w:rsidRDefault="00F01068" w:rsidP="00C112FF">
            <w:pPr>
              <w:jc w:val="center"/>
              <w:cnfStyle w:val="10000000000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0" w:name="_Hlk108820255"/>
            <w:r w:rsidRPr="00637494">
              <w:t>a vizsgára bocsájtás feltételének minősítésben</w:t>
            </w:r>
            <w:bookmarkEnd w:id="0"/>
          </w:p>
        </w:tc>
      </w:tr>
      <w:tr w:rsidR="00BE5153" w:rsidRPr="00DC3D3E" w:rsidTr="003E6E3D">
        <w:tc>
          <w:tcPr>
            <w:cnfStyle w:val="001000000000"/>
            <w:tcW w:w="4869" w:type="dxa"/>
            <w:shd w:val="clear" w:color="auto" w:fill="DFDFDF" w:themeFill="background2" w:themeFillShade="E6"/>
          </w:tcPr>
          <w:p w:rsidR="00BE5153" w:rsidRPr="00C213D2" w:rsidRDefault="00CB4E10" w:rsidP="00C213D2">
            <w:pPr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Ppt-prezentáció</w:t>
            </w:r>
            <w:proofErr w:type="spellEnd"/>
          </w:p>
        </w:tc>
        <w:tc>
          <w:tcPr>
            <w:tcW w:w="1648" w:type="dxa"/>
            <w:shd w:val="clear" w:color="auto" w:fill="DFDFDF" w:themeFill="background2" w:themeFillShade="E6"/>
          </w:tcPr>
          <w:p w:rsidR="00BE5153" w:rsidRPr="00DC3D3E" w:rsidRDefault="00CB4E10" w:rsidP="00BE5153">
            <w:pPr>
              <w:ind w:left="851" w:hanging="851"/>
              <w:cnfStyle w:val="00000000000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40</w:t>
            </w:r>
            <w:r w:rsidR="00C213D2">
              <w:rPr>
                <w:i/>
                <w:iCs/>
                <w:color w:val="808080" w:themeColor="accent4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:rsidR="00BE5153" w:rsidRPr="00DC3D3E" w:rsidRDefault="00CB4E10" w:rsidP="00BE5153">
            <w:pPr>
              <w:ind w:left="851" w:hanging="851"/>
              <w:cnfStyle w:val="00000000000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40</w:t>
            </w:r>
            <w:r w:rsidR="00C213D2">
              <w:rPr>
                <w:i/>
                <w:iCs/>
                <w:color w:val="808080" w:themeColor="accent4"/>
              </w:rPr>
              <w:t>%</w:t>
            </w:r>
          </w:p>
        </w:tc>
      </w:tr>
      <w:tr w:rsidR="00BE5153" w:rsidRPr="00DC3D3E" w:rsidTr="003E6E3D">
        <w:tc>
          <w:tcPr>
            <w:cnfStyle w:val="001000000000"/>
            <w:tcW w:w="4869" w:type="dxa"/>
            <w:shd w:val="clear" w:color="auto" w:fill="DFDFDF" w:themeFill="background2" w:themeFillShade="E6"/>
          </w:tcPr>
          <w:p w:rsidR="00BE5153" w:rsidRPr="00C213D2" w:rsidRDefault="00BE5153" w:rsidP="00C213D2">
            <w:pPr>
              <w:rPr>
                <w:i/>
                <w:iCs/>
                <w:color w:val="808080" w:themeColor="accent4"/>
              </w:rPr>
            </w:pPr>
          </w:p>
        </w:tc>
        <w:tc>
          <w:tcPr>
            <w:tcW w:w="1648" w:type="dxa"/>
            <w:shd w:val="clear" w:color="auto" w:fill="DFDFDF" w:themeFill="background2" w:themeFillShade="E6"/>
          </w:tcPr>
          <w:p w:rsidR="00BE5153" w:rsidRPr="00DC3D3E" w:rsidRDefault="00BE5153" w:rsidP="00BE5153">
            <w:pPr>
              <w:ind w:left="851" w:hanging="851"/>
              <w:cnfStyle w:val="000000000000"/>
              <w:rPr>
                <w:i/>
                <w:iCs/>
                <w:color w:val="808080" w:themeColor="accent4"/>
              </w:rPr>
            </w:pPr>
          </w:p>
        </w:tc>
        <w:tc>
          <w:tcPr>
            <w:tcW w:w="1983" w:type="dxa"/>
            <w:shd w:val="clear" w:color="auto" w:fill="DFDFDF" w:themeFill="background2" w:themeFillShade="E6"/>
          </w:tcPr>
          <w:p w:rsidR="00BE5153" w:rsidRPr="00DC3D3E" w:rsidRDefault="00BE5153" w:rsidP="00BE5153">
            <w:pPr>
              <w:ind w:left="851" w:hanging="851"/>
              <w:cnfStyle w:val="000000000000"/>
              <w:rPr>
                <w:i/>
                <w:iCs/>
                <w:color w:val="808080" w:themeColor="accent4"/>
              </w:rPr>
            </w:pPr>
          </w:p>
        </w:tc>
      </w:tr>
    </w:tbl>
    <w:p w:rsidR="00C026C1" w:rsidRPr="00637494" w:rsidRDefault="00C026C1" w:rsidP="006B1184">
      <w:pPr>
        <w:ind w:left="426"/>
        <w:rPr>
          <w:rStyle w:val="Finomkiemels"/>
          <w:b/>
          <w:bCs/>
        </w:rPr>
      </w:pPr>
    </w:p>
    <w:p w:rsidR="00C026C1" w:rsidRPr="00637494" w:rsidRDefault="00FC7D31" w:rsidP="003E6E3D">
      <w:pPr>
        <w:rPr>
          <w:b/>
          <w:bCs/>
          <w:i/>
          <w:iCs/>
        </w:rPr>
      </w:pPr>
      <w:r w:rsidRPr="00637494">
        <w:rPr>
          <w:rStyle w:val="Finomkiemels"/>
          <w:b/>
          <w:bCs/>
        </w:rPr>
        <w:t>Az aláírás megszerzésének feltétele</w:t>
      </w:r>
      <w:r w:rsidR="008E1B25" w:rsidRPr="00637494">
        <w:rPr>
          <w:b/>
          <w:bCs/>
          <w:i/>
          <w:iCs/>
        </w:rPr>
        <w:t xml:space="preserve"> </w:t>
      </w:r>
    </w:p>
    <w:p w:rsidR="001F4310" w:rsidRPr="003E046B" w:rsidRDefault="00CB4E10" w:rsidP="003E046B">
      <w:pPr>
        <w:shd w:val="clear" w:color="auto" w:fill="DFDFDF" w:themeFill="background2" w:themeFillShade="E6"/>
      </w:pPr>
      <w:r>
        <w:t>Prezentáció elkészítése és</w:t>
      </w:r>
      <w:r w:rsidR="00C213D2">
        <w:t xml:space="preserve"> </w:t>
      </w:r>
      <w:r>
        <w:t xml:space="preserve">előadása </w:t>
      </w:r>
    </w:p>
    <w:p w:rsidR="00C026C1" w:rsidRPr="00DC3D3E" w:rsidRDefault="00C026C1" w:rsidP="008E1B25">
      <w:pPr>
        <w:ind w:left="426"/>
        <w:rPr>
          <w:rStyle w:val="Finomkiemels"/>
          <w:i w:val="0"/>
          <w:iCs w:val="0"/>
        </w:rPr>
      </w:pPr>
    </w:p>
    <w:p w:rsidR="00E415B4" w:rsidRPr="00637494" w:rsidRDefault="00E415B4" w:rsidP="003E6E3D">
      <w:r w:rsidRPr="00637494">
        <w:rPr>
          <w:rStyle w:val="Finomkiemels"/>
          <w:b/>
          <w:bCs/>
        </w:rPr>
        <w:t xml:space="preserve">Pótlási lehetőségek </w:t>
      </w:r>
      <w:r w:rsidR="00467A06" w:rsidRPr="00637494">
        <w:rPr>
          <w:rStyle w:val="Finomkiemels"/>
          <w:b/>
          <w:bCs/>
        </w:rPr>
        <w:t xml:space="preserve">az </w:t>
      </w:r>
      <w:r w:rsidRPr="00637494">
        <w:rPr>
          <w:rStyle w:val="Finomkiemels"/>
          <w:b/>
          <w:bCs/>
        </w:rPr>
        <w:t>aláírás megszerzéséhez</w:t>
      </w:r>
      <w:r w:rsidR="000C00CA" w:rsidRPr="00637494">
        <w:rPr>
          <w:b/>
          <w:bCs/>
        </w:rPr>
        <w:t xml:space="preserve"> </w:t>
      </w:r>
    </w:p>
    <w:p w:rsidR="00C026C1" w:rsidRPr="003E046B" w:rsidRDefault="00FA6F99" w:rsidP="003E046B">
      <w:pPr>
        <w:shd w:val="clear" w:color="auto" w:fill="DFDFDF" w:themeFill="background2" w:themeFillShade="E6"/>
      </w:pPr>
      <w:r>
        <w:t xml:space="preserve">A </w:t>
      </w:r>
      <w:proofErr w:type="spellStart"/>
      <w:r>
        <w:t>Ppt</w:t>
      </w:r>
      <w:proofErr w:type="spellEnd"/>
      <w:r>
        <w:t xml:space="preserve"> legkésőbb a szorgalmi időszak</w:t>
      </w:r>
      <w:r w:rsidR="00CB4E10">
        <w:t xml:space="preserve"> utolsó h</w:t>
      </w:r>
      <w:r>
        <w:t>etének</w:t>
      </w:r>
      <w:r w:rsidR="00CB4E10">
        <w:t xml:space="preserve"> végéig benyújtandó, a prezentáció bemutatása a vizsgaidőszak első hetében még megtehető</w:t>
      </w:r>
      <w:r w:rsidR="00C213D2">
        <w:t xml:space="preserve">; ezek </w:t>
      </w:r>
      <w:r>
        <w:t xml:space="preserve">együttes </w:t>
      </w:r>
      <w:r w:rsidR="00C213D2">
        <w:t>megléte a</w:t>
      </w:r>
      <w:r w:rsidR="00CB4E10">
        <w:t>z</w:t>
      </w:r>
      <w:r>
        <w:t xml:space="preserve"> aláírás, valamint</w:t>
      </w:r>
      <w:r w:rsidR="00CB4E10">
        <w:t xml:space="preserve"> </w:t>
      </w:r>
      <w:r>
        <w:t xml:space="preserve">az </w:t>
      </w:r>
      <w:r w:rsidR="00CB4E10">
        <w:t>írásbeli</w:t>
      </w:r>
      <w:r w:rsidR="00C213D2">
        <w:t xml:space="preserve"> vizsgára bocsájtás feltételei</w:t>
      </w:r>
      <w:r w:rsidR="00A141F6">
        <w:t>.</w:t>
      </w:r>
      <w:r w:rsidR="00C213D2">
        <w:t xml:space="preserve"> </w:t>
      </w:r>
    </w:p>
    <w:p w:rsidR="00C026C1" w:rsidRPr="00DC3D3E" w:rsidRDefault="00C026C1" w:rsidP="006F6DF8">
      <w:pPr>
        <w:ind w:left="708"/>
      </w:pPr>
    </w:p>
    <w:p w:rsidR="000948A6" w:rsidRDefault="00E415B4" w:rsidP="003E6E3D">
      <w:pPr>
        <w:rPr>
          <w:i/>
          <w:iCs/>
          <w:shd w:val="clear" w:color="auto" w:fill="FFFF00"/>
        </w:rPr>
      </w:pPr>
      <w:r w:rsidRPr="00637494">
        <w:rPr>
          <w:b/>
          <w:bCs/>
          <w:i/>
          <w:iCs/>
        </w:rPr>
        <w:t>Vizsga típusa</w:t>
      </w:r>
      <w:r w:rsidR="00C026C1" w:rsidRPr="00637494">
        <w:rPr>
          <w:i/>
          <w:iCs/>
        </w:rPr>
        <w:t xml:space="preserve">: </w:t>
      </w:r>
      <w:r w:rsidR="00CB4E10">
        <w:rPr>
          <w:i/>
          <w:iCs/>
          <w:highlight w:val="lightGray"/>
          <w:shd w:val="clear" w:color="auto" w:fill="FFFF00"/>
        </w:rPr>
        <w:t>írás</w:t>
      </w:r>
      <w:r w:rsidR="0076517B">
        <w:rPr>
          <w:i/>
          <w:iCs/>
          <w:highlight w:val="lightGray"/>
          <w:shd w:val="clear" w:color="auto" w:fill="FFFF00"/>
        </w:rPr>
        <w:t>beli</w:t>
      </w:r>
    </w:p>
    <w:p w:rsidR="003E6E3D" w:rsidRPr="00637494" w:rsidRDefault="003E6E3D" w:rsidP="003E6E3D"/>
    <w:p w:rsidR="00430B31" w:rsidRPr="00637494" w:rsidRDefault="00430B31" w:rsidP="003E6E3D">
      <w:pPr>
        <w:rPr>
          <w:i/>
          <w:iCs/>
        </w:rPr>
      </w:pPr>
      <w:r w:rsidRPr="00637494">
        <w:rPr>
          <w:b/>
          <w:bCs/>
          <w:i/>
          <w:iCs/>
        </w:rPr>
        <w:t>A vizsga min</w:t>
      </w:r>
      <w:r w:rsidR="006B1184" w:rsidRPr="00637494">
        <w:rPr>
          <w:b/>
          <w:bCs/>
          <w:i/>
          <w:iCs/>
        </w:rPr>
        <w:t>imum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="0076517B">
        <w:rPr>
          <w:b/>
          <w:bCs/>
          <w:i/>
          <w:iCs/>
          <w:shd w:val="clear" w:color="auto" w:fill="DFDFDF" w:themeFill="background2" w:themeFillShade="E6"/>
        </w:rPr>
        <w:t>40</w:t>
      </w:r>
      <w:r w:rsidR="006B1184"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="00C213D2">
        <w:rPr>
          <w:b/>
          <w:bCs/>
          <w:i/>
          <w:iCs/>
        </w:rPr>
        <w:t>%-os teljesítés esetén sikeres.</w:t>
      </w:r>
    </w:p>
    <w:p w:rsidR="00862CE3" w:rsidRPr="00637494" w:rsidRDefault="00862CE3" w:rsidP="003E6E3D">
      <w:pPr>
        <w:rPr>
          <w:rStyle w:val="Finomkiemels"/>
          <w:b/>
          <w:bCs/>
        </w:rPr>
      </w:pPr>
    </w:p>
    <w:p w:rsidR="008305B9" w:rsidRPr="00637494" w:rsidRDefault="00C213D2" w:rsidP="003E6E3D">
      <w:pPr>
        <w:keepNext/>
        <w:ind w:left="851" w:hanging="851"/>
        <w:rPr>
          <w:rStyle w:val="Finomkiemels"/>
          <w:b/>
          <w:bCs/>
        </w:rPr>
      </w:pPr>
      <w:r>
        <w:rPr>
          <w:rStyle w:val="Finomkiemels"/>
          <w:b/>
          <w:bCs/>
        </w:rPr>
        <w:t>Az érdemjegy kialakítása</w:t>
      </w:r>
    </w:p>
    <w:p w:rsidR="008305B9" w:rsidRPr="00637494" w:rsidRDefault="00C213D2" w:rsidP="008305B9">
      <w:pPr>
        <w:ind w:left="708"/>
      </w:pPr>
      <w:r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="000B355B">
        <w:rPr>
          <w:b/>
          <w:bCs/>
          <w:i/>
          <w:iCs/>
          <w:shd w:val="clear" w:color="auto" w:fill="DFDFDF" w:themeFill="background2" w:themeFillShade="E6"/>
        </w:rPr>
        <w:t>40</w:t>
      </w:r>
      <w:r w:rsidR="008305B9" w:rsidRPr="00A76CD9">
        <w:rPr>
          <w:shd w:val="clear" w:color="auto" w:fill="DFDFDF" w:themeFill="background2" w:themeFillShade="E6"/>
        </w:rPr>
        <w:t xml:space="preserve"> </w:t>
      </w:r>
      <w:r w:rsidR="008305B9" w:rsidRPr="00637494">
        <w:t>%-ban az évközi teljesítmény,</w:t>
      </w:r>
      <w:r w:rsidR="00A141F6">
        <w:t xml:space="preserve"> </w:t>
      </w:r>
      <w:r w:rsidR="000B355B">
        <w:rPr>
          <w:b/>
          <w:bCs/>
          <w:i/>
          <w:iCs/>
          <w:shd w:val="clear" w:color="auto" w:fill="DFDFDF" w:themeFill="background2" w:themeFillShade="E6"/>
        </w:rPr>
        <w:t>6</w:t>
      </w:r>
      <w:r>
        <w:rPr>
          <w:b/>
          <w:bCs/>
          <w:i/>
          <w:iCs/>
          <w:shd w:val="clear" w:color="auto" w:fill="DFDFDF" w:themeFill="background2" w:themeFillShade="E6"/>
        </w:rPr>
        <w:t>0</w:t>
      </w:r>
      <w:r w:rsidR="008305B9" w:rsidRPr="00637494">
        <w:t xml:space="preserve"> %-ban a vizsgán</w:t>
      </w:r>
      <w:r w:rsidR="00862CE3" w:rsidRPr="00637494">
        <w:t xml:space="preserve"> </w:t>
      </w:r>
      <w:r w:rsidR="008305B9" w:rsidRPr="00637494">
        <w:t>nyújtott teljesítmény alapján</w:t>
      </w:r>
      <w:r w:rsidR="00862CE3" w:rsidRPr="00637494">
        <w:t xml:space="preserve"> történik</w:t>
      </w:r>
      <w:r w:rsidR="008305B9" w:rsidRPr="00637494">
        <w:t>.</w:t>
      </w:r>
    </w:p>
    <w:p w:rsidR="008305B9" w:rsidRPr="00637494" w:rsidRDefault="008305B9" w:rsidP="006B1184">
      <w:pPr>
        <w:ind w:left="1559" w:hanging="851"/>
        <w:rPr>
          <w:rStyle w:val="Finomkiemels"/>
          <w:b/>
          <w:bCs/>
        </w:rPr>
      </w:pPr>
    </w:p>
    <w:p w:rsidR="006B1184" w:rsidRDefault="006B1184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Az érdemjegy </w:t>
      </w:r>
      <w:r w:rsidR="008305B9" w:rsidRPr="00637494">
        <w:rPr>
          <w:rStyle w:val="Finomkiemels"/>
          <w:b/>
          <w:bCs/>
        </w:rPr>
        <w:t>megállapítása az összesített teljesítmény alapján</w:t>
      </w:r>
      <w:r w:rsidRPr="00637494">
        <w:rPr>
          <w:rStyle w:val="Finomkiemels"/>
          <w:b/>
          <w:bCs/>
        </w:rPr>
        <w:t xml:space="preserve"> %-os bontásban</w:t>
      </w:r>
    </w:p>
    <w:tbl>
      <w:tblPr>
        <w:tblStyle w:val="GridTableLight"/>
        <w:tblW w:w="5245" w:type="dxa"/>
        <w:tblInd w:w="1129" w:type="dxa"/>
        <w:tblLook w:val="04A0"/>
      </w:tblPr>
      <w:tblGrid>
        <w:gridCol w:w="1696"/>
        <w:gridCol w:w="3549"/>
      </w:tblGrid>
      <w:tr w:rsidR="00D042E1" w:rsidRPr="00637494" w:rsidTr="00BD4FC9">
        <w:tc>
          <w:tcPr>
            <w:tcW w:w="1696" w:type="dxa"/>
            <w:vAlign w:val="center"/>
          </w:tcPr>
          <w:p w:rsidR="00D042E1" w:rsidRPr="00637494" w:rsidRDefault="00D042E1" w:rsidP="00BD4FC9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D042E1" w:rsidRPr="00637494" w:rsidRDefault="00D042E1" w:rsidP="00BD4FC9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D042E1" w:rsidRPr="00637494" w:rsidTr="00BD4FC9">
        <w:tc>
          <w:tcPr>
            <w:tcW w:w="1696" w:type="dxa"/>
          </w:tcPr>
          <w:p w:rsidR="00D042E1" w:rsidRPr="00637494" w:rsidRDefault="00D042E1" w:rsidP="00BD4FC9">
            <w:pPr>
              <w:ind w:left="851" w:hanging="851"/>
              <w:jc w:val="right"/>
            </w:pPr>
            <w:bookmarkStart w:id="1" w:name="_GoBack" w:colFirst="0" w:colLast="0"/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D042E1" w:rsidRPr="00637494" w:rsidRDefault="00D042E1" w:rsidP="00BD4FC9">
            <w:pPr>
              <w:ind w:left="851" w:hanging="851"/>
            </w:pPr>
            <w:r w:rsidRPr="00027996">
              <w:t>85 %</w:t>
            </w:r>
            <w:r>
              <w:t xml:space="preserve"> </w:t>
            </w:r>
            <w:proofErr w:type="spellStart"/>
            <w:r>
              <w:t>-tól</w:t>
            </w:r>
            <w:proofErr w:type="spellEnd"/>
          </w:p>
        </w:tc>
      </w:tr>
      <w:tr w:rsidR="00D042E1" w:rsidRPr="00637494" w:rsidTr="00BD4FC9">
        <w:tc>
          <w:tcPr>
            <w:tcW w:w="1696" w:type="dxa"/>
          </w:tcPr>
          <w:p w:rsidR="00D042E1" w:rsidRPr="00637494" w:rsidRDefault="00D042E1" w:rsidP="00BD4FC9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D042E1" w:rsidRPr="00637494" w:rsidRDefault="00D042E1" w:rsidP="00BD4FC9">
            <w:pPr>
              <w:ind w:left="851" w:hanging="851"/>
            </w:pPr>
            <w:r w:rsidRPr="00027996">
              <w:t xml:space="preserve">70 % </w:t>
            </w:r>
            <w:proofErr w:type="spellStart"/>
            <w:r>
              <w:t>-tól</w:t>
            </w:r>
            <w:proofErr w:type="spellEnd"/>
          </w:p>
        </w:tc>
      </w:tr>
      <w:tr w:rsidR="00D042E1" w:rsidRPr="00637494" w:rsidTr="00BD4FC9">
        <w:tc>
          <w:tcPr>
            <w:tcW w:w="1696" w:type="dxa"/>
          </w:tcPr>
          <w:p w:rsidR="00D042E1" w:rsidRPr="00637494" w:rsidRDefault="00D042E1" w:rsidP="00BD4FC9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D042E1" w:rsidRPr="00637494" w:rsidRDefault="00D042E1" w:rsidP="00BD4FC9">
            <w:pPr>
              <w:ind w:left="851" w:hanging="851"/>
            </w:pPr>
            <w:r w:rsidRPr="00027996">
              <w:t xml:space="preserve">55 % </w:t>
            </w:r>
            <w:proofErr w:type="spellStart"/>
            <w:r>
              <w:t>-tól</w:t>
            </w:r>
            <w:proofErr w:type="spellEnd"/>
          </w:p>
        </w:tc>
      </w:tr>
      <w:tr w:rsidR="00D042E1" w:rsidRPr="00637494" w:rsidTr="00BD4FC9">
        <w:tc>
          <w:tcPr>
            <w:tcW w:w="1696" w:type="dxa"/>
          </w:tcPr>
          <w:p w:rsidR="00D042E1" w:rsidRPr="00637494" w:rsidRDefault="00D042E1" w:rsidP="00BD4FC9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D042E1" w:rsidRPr="00637494" w:rsidRDefault="00D042E1" w:rsidP="00BD4FC9">
            <w:pPr>
              <w:ind w:left="851" w:hanging="851"/>
            </w:pPr>
            <w:r w:rsidRPr="00027996">
              <w:t xml:space="preserve">40 % </w:t>
            </w:r>
            <w:proofErr w:type="spellStart"/>
            <w:r>
              <w:t>-tól</w:t>
            </w:r>
            <w:proofErr w:type="spellEnd"/>
          </w:p>
        </w:tc>
      </w:tr>
      <w:tr w:rsidR="00D042E1" w:rsidRPr="00637494" w:rsidTr="00BD4FC9">
        <w:tc>
          <w:tcPr>
            <w:tcW w:w="1696" w:type="dxa"/>
          </w:tcPr>
          <w:p w:rsidR="00D042E1" w:rsidRPr="00637494" w:rsidRDefault="00D042E1" w:rsidP="00BD4FC9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D042E1" w:rsidRPr="00637494" w:rsidRDefault="00D042E1" w:rsidP="00BD4FC9">
            <w:pPr>
              <w:ind w:left="851" w:hanging="851"/>
            </w:pPr>
            <w:r w:rsidRPr="00027996">
              <w:t>40 % alatt</w:t>
            </w:r>
          </w:p>
        </w:tc>
      </w:tr>
      <w:bookmarkEnd w:id="1"/>
    </w:tbl>
    <w:p w:rsidR="00D042E1" w:rsidRPr="00637494" w:rsidRDefault="00D042E1" w:rsidP="003E6E3D">
      <w:pPr>
        <w:ind w:left="851" w:hanging="851"/>
        <w:rPr>
          <w:rStyle w:val="Finomkiemels"/>
          <w:b/>
          <w:bCs/>
        </w:rPr>
      </w:pPr>
    </w:p>
    <w:p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:rsidR="004348FE" w:rsidRPr="00DF4E1B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F4E1B">
        <w:rPr>
          <w:b/>
          <w:bCs/>
          <w:color w:val="auto"/>
          <w:u w:val="single"/>
          <w:lang w:val="en-US"/>
        </w:rPr>
        <w:t>Kötelező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irodalom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és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elérhetősége</w:t>
      </w:r>
      <w:proofErr w:type="spellEnd"/>
    </w:p>
    <w:p w:rsidR="00E72530" w:rsidRPr="00E72530" w:rsidRDefault="00D042E1" w:rsidP="00D042E1">
      <w:pPr>
        <w:rPr>
          <w:rFonts w:cstheme="minorHAnsi"/>
        </w:rPr>
      </w:pPr>
      <w:r w:rsidRPr="00E72530">
        <w:rPr>
          <w:rFonts w:cstheme="minorHAnsi"/>
        </w:rPr>
        <w:t>[</w:t>
      </w:r>
      <w:r w:rsidR="00701DD1" w:rsidRPr="00E72530">
        <w:rPr>
          <w:rFonts w:cstheme="minorHAnsi"/>
        </w:rPr>
        <w:t>1</w:t>
      </w:r>
      <w:r w:rsidRPr="00E72530">
        <w:rPr>
          <w:rFonts w:cstheme="minorHAnsi"/>
        </w:rPr>
        <w:t xml:space="preserve">.] </w:t>
      </w:r>
      <w:r w:rsidR="00E72530" w:rsidRPr="00E72530">
        <w:rPr>
          <w:rFonts w:cstheme="minorHAnsi"/>
        </w:rPr>
        <w:t>RITOÓK Pál /</w:t>
      </w:r>
      <w:proofErr w:type="spellStart"/>
      <w:r w:rsidR="00E72530" w:rsidRPr="00E72530">
        <w:rPr>
          <w:rFonts w:cstheme="minorHAnsi"/>
        </w:rPr>
        <w:t>főszerk</w:t>
      </w:r>
      <w:proofErr w:type="spellEnd"/>
      <w:r w:rsidR="00E72530" w:rsidRPr="00E72530">
        <w:rPr>
          <w:rFonts w:cstheme="minorHAnsi"/>
        </w:rPr>
        <w:t xml:space="preserve">./ (2001) Magyar építészet sorozat. </w:t>
      </w:r>
      <w:r w:rsidR="00E72530" w:rsidRPr="00E72530">
        <w:rPr>
          <w:rFonts w:cstheme="minorHAnsi"/>
          <w:i/>
        </w:rPr>
        <w:t>A rómaiaktól a román korig.</w:t>
      </w:r>
      <w:r w:rsidR="00E72530" w:rsidRPr="00E72530">
        <w:rPr>
          <w:rFonts w:cstheme="minorHAnsi"/>
        </w:rPr>
        <w:t xml:space="preserve"> Kossuth Kiadó, Budapest, 6-50. </w:t>
      </w:r>
    </w:p>
    <w:p w:rsidR="00D042E1" w:rsidRDefault="00E72530" w:rsidP="00D042E1">
      <w:pPr>
        <w:rPr>
          <w:rFonts w:cstheme="minorHAnsi"/>
        </w:rPr>
      </w:pPr>
      <w:r w:rsidRPr="00E72530">
        <w:rPr>
          <w:rFonts w:cstheme="minorHAnsi"/>
        </w:rPr>
        <w:t xml:space="preserve">[2.] CHICO PICAZA, </w:t>
      </w:r>
      <w:proofErr w:type="spellStart"/>
      <w:r w:rsidRPr="00E72530">
        <w:rPr>
          <w:rFonts w:cstheme="minorHAnsi"/>
        </w:rPr>
        <w:t>María</w:t>
      </w:r>
      <w:proofErr w:type="spellEnd"/>
      <w:r w:rsidRPr="00E72530">
        <w:rPr>
          <w:rFonts w:cstheme="minorHAnsi"/>
        </w:rPr>
        <w:t xml:space="preserve"> Victoria (2000): A művészet története sorozat. </w:t>
      </w:r>
      <w:r w:rsidR="00D042E1" w:rsidRPr="00E72530">
        <w:rPr>
          <w:rFonts w:cstheme="minorHAnsi"/>
          <w:i/>
        </w:rPr>
        <w:t>Bizánc - Az iszlám.</w:t>
      </w:r>
      <w:r w:rsidR="00D042E1" w:rsidRPr="00E72530">
        <w:rPr>
          <w:rFonts w:cstheme="minorHAnsi"/>
        </w:rPr>
        <w:t xml:space="preserve"> </w:t>
      </w:r>
      <w:r w:rsidRPr="00E72530">
        <w:rPr>
          <w:rFonts w:cstheme="minorHAnsi"/>
        </w:rPr>
        <w:t xml:space="preserve">Magyar Könyvklub. </w:t>
      </w:r>
      <w:r w:rsidR="00D042E1" w:rsidRPr="00E72530">
        <w:rPr>
          <w:rFonts w:cstheme="minorHAnsi"/>
        </w:rPr>
        <w:t>Budapest,</w:t>
      </w:r>
      <w:r w:rsidRPr="00E72530">
        <w:rPr>
          <w:rFonts w:cstheme="minorHAnsi"/>
        </w:rPr>
        <w:t xml:space="preserve"> 101-</w:t>
      </w:r>
      <w:r>
        <w:rPr>
          <w:rFonts w:cstheme="minorHAnsi"/>
        </w:rPr>
        <w:t>200.</w:t>
      </w:r>
    </w:p>
    <w:p w:rsidR="00283669" w:rsidRPr="00283669" w:rsidRDefault="00283669" w:rsidP="00283669">
      <w:pPr>
        <w:pStyle w:val="western"/>
        <w:spacing w:before="0" w:beforeAutospacing="0" w:after="0" w:line="24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[3.] </w:t>
      </w:r>
      <w:r w:rsidRPr="00D042E1">
        <w:rPr>
          <w:rFonts w:asciiTheme="minorHAnsi" w:hAnsiTheme="minorHAnsi" w:cstheme="minorHAnsi"/>
          <w:sz w:val="20"/>
          <w:szCs w:val="20"/>
        </w:rPr>
        <w:t>TOMAN, Rolf –BEYER</w:t>
      </w:r>
      <w:r>
        <w:rPr>
          <w:rFonts w:asciiTheme="minorHAnsi" w:hAnsiTheme="minorHAnsi" w:cstheme="minorHAnsi"/>
          <w:sz w:val="20"/>
          <w:szCs w:val="20"/>
        </w:rPr>
        <w:t>, Birgit (2004)</w:t>
      </w:r>
      <w:r w:rsidRPr="00D042E1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i/>
          <w:sz w:val="20"/>
          <w:szCs w:val="20"/>
        </w:rPr>
        <w:t>Román</w:t>
      </w:r>
      <w:r w:rsidRPr="00E72530">
        <w:rPr>
          <w:rFonts w:asciiTheme="minorHAnsi" w:hAnsiTheme="minorHAnsi" w:cstheme="minorHAnsi"/>
          <w:i/>
          <w:sz w:val="20"/>
          <w:szCs w:val="20"/>
        </w:rPr>
        <w:t xml:space="preserve"> stílus – Építészet, szobrászat, festészet.</w:t>
      </w:r>
      <w:r>
        <w:rPr>
          <w:rFonts w:asciiTheme="minorHAnsi" w:hAnsiTheme="minorHAnsi" w:cstheme="minorHAnsi"/>
          <w:sz w:val="20"/>
          <w:szCs w:val="20"/>
        </w:rPr>
        <w:t xml:space="preserve"> Vince Kiadó, Budapest</w:t>
      </w:r>
    </w:p>
    <w:p w:rsidR="00E72530" w:rsidRPr="00D042E1" w:rsidRDefault="00E72530" w:rsidP="00E72530">
      <w:pPr>
        <w:pStyle w:val="western"/>
        <w:spacing w:before="0" w:beforeAutospacing="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</w:t>
      </w:r>
      <w:r w:rsidR="00283669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.] </w:t>
      </w:r>
      <w:r w:rsidRPr="00D042E1">
        <w:rPr>
          <w:rFonts w:asciiTheme="minorHAnsi" w:hAnsiTheme="minorHAnsi" w:cstheme="minorHAnsi"/>
          <w:sz w:val="20"/>
          <w:szCs w:val="20"/>
        </w:rPr>
        <w:t>TOMAN, Rolf –BEYER</w:t>
      </w:r>
      <w:r>
        <w:rPr>
          <w:rFonts w:asciiTheme="minorHAnsi" w:hAnsiTheme="minorHAnsi" w:cstheme="minorHAnsi"/>
          <w:sz w:val="20"/>
          <w:szCs w:val="20"/>
        </w:rPr>
        <w:t>, Birgit (2004)</w:t>
      </w:r>
      <w:r w:rsidRPr="00D042E1">
        <w:rPr>
          <w:rFonts w:asciiTheme="minorHAnsi" w:hAnsiTheme="minorHAnsi" w:cstheme="minorHAnsi"/>
          <w:sz w:val="20"/>
          <w:szCs w:val="20"/>
        </w:rPr>
        <w:t xml:space="preserve">: </w:t>
      </w:r>
      <w:r w:rsidRPr="00E72530">
        <w:rPr>
          <w:rFonts w:asciiTheme="minorHAnsi" w:hAnsiTheme="minorHAnsi" w:cstheme="minorHAnsi"/>
          <w:i/>
          <w:sz w:val="20"/>
          <w:szCs w:val="20"/>
        </w:rPr>
        <w:t>Barokk stílus – Építészet, szobrászat, festészet.</w:t>
      </w:r>
      <w:r>
        <w:rPr>
          <w:rFonts w:asciiTheme="minorHAnsi" w:hAnsiTheme="minorHAnsi" w:cstheme="minorHAnsi"/>
          <w:sz w:val="20"/>
          <w:szCs w:val="20"/>
        </w:rPr>
        <w:t xml:space="preserve"> Vince Kiadó, Budapest, 7-272.</w:t>
      </w:r>
    </w:p>
    <w:p w:rsidR="004348FE" w:rsidRPr="004C1211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4C1211">
        <w:rPr>
          <w:b/>
          <w:bCs/>
          <w:color w:val="auto"/>
          <w:u w:val="single"/>
          <w:lang w:val="en-US"/>
        </w:rPr>
        <w:t>Ajánlott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4C1211">
        <w:rPr>
          <w:b/>
          <w:bCs/>
          <w:color w:val="auto"/>
          <w:u w:val="single"/>
          <w:lang w:val="en-US"/>
        </w:rPr>
        <w:t>irodalom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4C1211">
        <w:rPr>
          <w:b/>
          <w:bCs/>
          <w:color w:val="auto"/>
          <w:u w:val="single"/>
          <w:lang w:val="en-US"/>
        </w:rPr>
        <w:t>és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4C1211">
        <w:rPr>
          <w:b/>
          <w:bCs/>
          <w:color w:val="auto"/>
          <w:u w:val="single"/>
          <w:lang w:val="en-US"/>
        </w:rPr>
        <w:t>elérhetősége</w:t>
      </w:r>
      <w:proofErr w:type="spellEnd"/>
    </w:p>
    <w:p w:rsidR="00D042E1" w:rsidRDefault="004348FE" w:rsidP="00D042E1">
      <w:pPr>
        <w:pStyle w:val="western"/>
        <w:spacing w:before="0" w:beforeAutospacing="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42E1">
        <w:rPr>
          <w:rFonts w:asciiTheme="minorHAnsi" w:hAnsiTheme="minorHAnsi" w:cstheme="minorHAnsi"/>
          <w:sz w:val="20"/>
          <w:szCs w:val="20"/>
        </w:rPr>
        <w:t>[</w:t>
      </w:r>
      <w:r w:rsidR="00283669">
        <w:rPr>
          <w:rFonts w:asciiTheme="minorHAnsi" w:hAnsiTheme="minorHAnsi" w:cstheme="minorHAnsi"/>
          <w:sz w:val="20"/>
          <w:szCs w:val="20"/>
        </w:rPr>
        <w:t>5</w:t>
      </w:r>
      <w:r w:rsidR="00B17FC9" w:rsidRPr="00D042E1">
        <w:rPr>
          <w:rFonts w:asciiTheme="minorHAnsi" w:hAnsiTheme="minorHAnsi" w:cstheme="minorHAnsi"/>
          <w:sz w:val="20"/>
          <w:szCs w:val="20"/>
        </w:rPr>
        <w:t>.</w:t>
      </w:r>
      <w:r w:rsidR="00D042E1" w:rsidRPr="00D042E1">
        <w:rPr>
          <w:rFonts w:asciiTheme="minorHAnsi" w:hAnsiTheme="minorHAnsi" w:cstheme="minorHAnsi"/>
          <w:sz w:val="20"/>
          <w:szCs w:val="20"/>
        </w:rPr>
        <w:t xml:space="preserve">] KOCH, </w:t>
      </w:r>
      <w:proofErr w:type="spellStart"/>
      <w:r w:rsidR="00D042E1" w:rsidRPr="00D042E1">
        <w:rPr>
          <w:rFonts w:asciiTheme="minorHAnsi" w:hAnsiTheme="minorHAnsi" w:cstheme="minorHAnsi"/>
          <w:sz w:val="20"/>
          <w:szCs w:val="20"/>
        </w:rPr>
        <w:t>Wilfried</w:t>
      </w:r>
      <w:proofErr w:type="spellEnd"/>
      <w:r w:rsidR="00BD4FC9">
        <w:rPr>
          <w:rFonts w:asciiTheme="minorHAnsi" w:hAnsiTheme="minorHAnsi" w:cstheme="minorHAnsi"/>
          <w:sz w:val="20"/>
          <w:szCs w:val="20"/>
        </w:rPr>
        <w:t xml:space="preserve"> (1997)</w:t>
      </w:r>
      <w:r w:rsidR="00D042E1" w:rsidRPr="00D042E1">
        <w:rPr>
          <w:rFonts w:asciiTheme="minorHAnsi" w:hAnsiTheme="minorHAnsi" w:cstheme="minorHAnsi"/>
          <w:sz w:val="20"/>
          <w:szCs w:val="20"/>
        </w:rPr>
        <w:t xml:space="preserve">: </w:t>
      </w:r>
      <w:r w:rsidR="00D042E1" w:rsidRPr="00D042E1">
        <w:rPr>
          <w:rFonts w:asciiTheme="minorHAnsi" w:hAnsiTheme="minorHAnsi" w:cstheme="minorHAnsi"/>
          <w:bCs/>
          <w:i/>
          <w:sz w:val="20"/>
          <w:szCs w:val="20"/>
        </w:rPr>
        <w:t>Építészeti stílusok.</w:t>
      </w:r>
      <w:r w:rsidR="00BD4FC9">
        <w:rPr>
          <w:rFonts w:asciiTheme="minorHAnsi" w:hAnsiTheme="minorHAnsi" w:cstheme="minorHAnsi"/>
          <w:sz w:val="20"/>
          <w:szCs w:val="20"/>
        </w:rPr>
        <w:t xml:space="preserve"> Officina Nova, Budapest</w:t>
      </w:r>
      <w:r w:rsidR="00D042E1" w:rsidRPr="00D042E1">
        <w:rPr>
          <w:rFonts w:asciiTheme="minorHAnsi" w:hAnsiTheme="minorHAnsi" w:cstheme="minorHAnsi"/>
          <w:sz w:val="20"/>
          <w:szCs w:val="20"/>
        </w:rPr>
        <w:t>.</w:t>
      </w:r>
    </w:p>
    <w:p w:rsidR="00BD4FC9" w:rsidRDefault="00BD4FC9" w:rsidP="00D042E1">
      <w:pPr>
        <w:pStyle w:val="western"/>
        <w:spacing w:before="0" w:beforeAutospacing="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</w:t>
      </w:r>
      <w:r w:rsidR="00283669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.] HATTSTEIN, </w:t>
      </w:r>
      <w:proofErr w:type="spellStart"/>
      <w:r>
        <w:rPr>
          <w:rFonts w:asciiTheme="minorHAnsi" w:hAnsiTheme="minorHAnsi" w:cstheme="minorHAnsi"/>
          <w:sz w:val="20"/>
          <w:szCs w:val="20"/>
        </w:rPr>
        <w:t>Markus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DELIUS, Peter (2005): </w:t>
      </w:r>
      <w:r w:rsidRPr="00BD4FC9">
        <w:rPr>
          <w:rFonts w:asciiTheme="minorHAnsi" w:hAnsiTheme="minorHAnsi" w:cstheme="minorHAnsi"/>
          <w:i/>
          <w:sz w:val="20"/>
          <w:szCs w:val="20"/>
        </w:rPr>
        <w:t>Iszlám. Művészet és építészet</w:t>
      </w:r>
      <w:r>
        <w:rPr>
          <w:rFonts w:asciiTheme="minorHAnsi" w:hAnsiTheme="minorHAnsi" w:cstheme="minorHAnsi"/>
          <w:sz w:val="20"/>
          <w:szCs w:val="20"/>
        </w:rPr>
        <w:t>. Vince Kiadó, Budapest.</w:t>
      </w:r>
    </w:p>
    <w:p w:rsidR="00D042E1" w:rsidRPr="00B17FC9" w:rsidRDefault="00D042E1" w:rsidP="00B17FC9">
      <w:pPr>
        <w:rPr>
          <w:rFonts w:cstheme="minorHAnsi"/>
        </w:rPr>
      </w:pPr>
    </w:p>
    <w:p w:rsidR="004348FE" w:rsidRPr="00BD4FC9" w:rsidRDefault="00BD4FC9" w:rsidP="004348FE">
      <w:pPr>
        <w:spacing w:before="200"/>
        <w:rPr>
          <w:i/>
        </w:rPr>
      </w:pPr>
      <w:r w:rsidRPr="00BD4FC9">
        <w:rPr>
          <w:i/>
        </w:rPr>
        <w:t>A felsorolt könyvek a pécsi Tudásközpontban hozzáférhetőek.</w:t>
      </w:r>
    </w:p>
    <w:sectPr w:rsidR="004348FE" w:rsidRPr="00BD4FC9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A54" w:rsidRDefault="00181A54" w:rsidP="00AD4BC7">
      <w:r>
        <w:separator/>
      </w:r>
    </w:p>
  </w:endnote>
  <w:endnote w:type="continuationSeparator" w:id="0">
    <w:p w:rsidR="00181A54" w:rsidRDefault="00181A54" w:rsidP="00AD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8727360"/>
      <w:docPartObj>
        <w:docPartGallery w:val="Page Numbers (Bottom of Page)"/>
        <w:docPartUnique/>
      </w:docPartObj>
    </w:sdtPr>
    <w:sdtContent>
      <w:p w:rsidR="00283669" w:rsidRDefault="001F374B">
        <w:pPr>
          <w:pStyle w:val="llb"/>
          <w:jc w:val="center"/>
        </w:pPr>
        <w:fldSimple w:instr="PAGE   \* MERGEFORMAT">
          <w:r w:rsidR="00631C3A">
            <w:rPr>
              <w:noProof/>
            </w:rPr>
            <w:t>3</w:t>
          </w:r>
        </w:fldSimple>
      </w:p>
    </w:sdtContent>
  </w:sdt>
  <w:p w:rsidR="00283669" w:rsidRDefault="0028366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A54" w:rsidRDefault="00181A54" w:rsidP="00AD4BC7">
      <w:r>
        <w:separator/>
      </w:r>
    </w:p>
  </w:footnote>
  <w:footnote w:type="continuationSeparator" w:id="0">
    <w:p w:rsidR="00181A54" w:rsidRDefault="00181A54" w:rsidP="00AD4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A74C77"/>
    <w:multiLevelType w:val="hybridMultilevel"/>
    <w:tmpl w:val="EF0A0A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1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3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9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1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6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5"/>
  </w:num>
  <w:num w:numId="9">
    <w:abstractNumId w:val="17"/>
  </w:num>
  <w:num w:numId="10">
    <w:abstractNumId w:val="21"/>
  </w:num>
  <w:num w:numId="11">
    <w:abstractNumId w:val="26"/>
  </w:num>
  <w:num w:numId="12">
    <w:abstractNumId w:val="23"/>
  </w:num>
  <w:num w:numId="13">
    <w:abstractNumId w:val="3"/>
  </w:num>
  <w:num w:numId="14">
    <w:abstractNumId w:val="0"/>
  </w:num>
  <w:num w:numId="15">
    <w:abstractNumId w:val="10"/>
  </w:num>
  <w:num w:numId="16">
    <w:abstractNumId w:val="9"/>
  </w:num>
  <w:num w:numId="17">
    <w:abstractNumId w:val="12"/>
  </w:num>
  <w:num w:numId="18">
    <w:abstractNumId w:val="14"/>
  </w:num>
  <w:num w:numId="19">
    <w:abstractNumId w:val="25"/>
  </w:num>
  <w:num w:numId="20">
    <w:abstractNumId w:val="18"/>
  </w:num>
  <w:num w:numId="21">
    <w:abstractNumId w:val="20"/>
  </w:num>
  <w:num w:numId="22">
    <w:abstractNumId w:val="7"/>
  </w:num>
  <w:num w:numId="23">
    <w:abstractNumId w:val="13"/>
  </w:num>
  <w:num w:numId="24">
    <w:abstractNumId w:val="11"/>
  </w:num>
  <w:num w:numId="25">
    <w:abstractNumId w:val="8"/>
  </w:num>
  <w:num w:numId="26">
    <w:abstractNumId w:val="16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33C73"/>
    <w:rsid w:val="00052842"/>
    <w:rsid w:val="0005459A"/>
    <w:rsid w:val="00055E0B"/>
    <w:rsid w:val="00064593"/>
    <w:rsid w:val="00065780"/>
    <w:rsid w:val="00077728"/>
    <w:rsid w:val="00085F17"/>
    <w:rsid w:val="000948A6"/>
    <w:rsid w:val="000976E2"/>
    <w:rsid w:val="000A2AEB"/>
    <w:rsid w:val="000A37C1"/>
    <w:rsid w:val="000A7F93"/>
    <w:rsid w:val="000B355B"/>
    <w:rsid w:val="000B5086"/>
    <w:rsid w:val="000B7B95"/>
    <w:rsid w:val="000C00CA"/>
    <w:rsid w:val="000C4323"/>
    <w:rsid w:val="000C4596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694C"/>
    <w:rsid w:val="00127634"/>
    <w:rsid w:val="001277D8"/>
    <w:rsid w:val="00131A69"/>
    <w:rsid w:val="001566F9"/>
    <w:rsid w:val="00165402"/>
    <w:rsid w:val="00172E49"/>
    <w:rsid w:val="001777AD"/>
    <w:rsid w:val="00181A54"/>
    <w:rsid w:val="00182A60"/>
    <w:rsid w:val="00183256"/>
    <w:rsid w:val="00186BA4"/>
    <w:rsid w:val="001A4BE8"/>
    <w:rsid w:val="001B050E"/>
    <w:rsid w:val="001B57F9"/>
    <w:rsid w:val="001C1882"/>
    <w:rsid w:val="001C439B"/>
    <w:rsid w:val="001C722F"/>
    <w:rsid w:val="001C7AF2"/>
    <w:rsid w:val="001D488A"/>
    <w:rsid w:val="001F374B"/>
    <w:rsid w:val="001F4310"/>
    <w:rsid w:val="00201DBF"/>
    <w:rsid w:val="002031EE"/>
    <w:rsid w:val="002038B8"/>
    <w:rsid w:val="00206634"/>
    <w:rsid w:val="00207007"/>
    <w:rsid w:val="00223DDB"/>
    <w:rsid w:val="00232A68"/>
    <w:rsid w:val="00252276"/>
    <w:rsid w:val="00256B69"/>
    <w:rsid w:val="00261943"/>
    <w:rsid w:val="00261EA1"/>
    <w:rsid w:val="00271043"/>
    <w:rsid w:val="00273A83"/>
    <w:rsid w:val="00273A94"/>
    <w:rsid w:val="00283669"/>
    <w:rsid w:val="00283F7B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1F23"/>
    <w:rsid w:val="002F2A76"/>
    <w:rsid w:val="002F61F2"/>
    <w:rsid w:val="00305AFF"/>
    <w:rsid w:val="003138E8"/>
    <w:rsid w:val="003143C3"/>
    <w:rsid w:val="0031664E"/>
    <w:rsid w:val="00325702"/>
    <w:rsid w:val="003258E3"/>
    <w:rsid w:val="00337559"/>
    <w:rsid w:val="0034326A"/>
    <w:rsid w:val="00350779"/>
    <w:rsid w:val="003563A3"/>
    <w:rsid w:val="003873B8"/>
    <w:rsid w:val="00391648"/>
    <w:rsid w:val="00396EB7"/>
    <w:rsid w:val="003A23E0"/>
    <w:rsid w:val="003A57DC"/>
    <w:rsid w:val="003B554A"/>
    <w:rsid w:val="003B639F"/>
    <w:rsid w:val="003B7E34"/>
    <w:rsid w:val="003C6F9F"/>
    <w:rsid w:val="003D3495"/>
    <w:rsid w:val="003E046B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51D99"/>
    <w:rsid w:val="004524FD"/>
    <w:rsid w:val="004609C8"/>
    <w:rsid w:val="00467A06"/>
    <w:rsid w:val="004739D5"/>
    <w:rsid w:val="00484B98"/>
    <w:rsid w:val="004A4EA6"/>
    <w:rsid w:val="004B270F"/>
    <w:rsid w:val="004B7E0A"/>
    <w:rsid w:val="004C1211"/>
    <w:rsid w:val="004C2A6B"/>
    <w:rsid w:val="004D08E3"/>
    <w:rsid w:val="004D2170"/>
    <w:rsid w:val="004E4D10"/>
    <w:rsid w:val="004F136D"/>
    <w:rsid w:val="004F5760"/>
    <w:rsid w:val="0050293F"/>
    <w:rsid w:val="00510EB7"/>
    <w:rsid w:val="00515A1A"/>
    <w:rsid w:val="00516444"/>
    <w:rsid w:val="005259E6"/>
    <w:rsid w:val="005340BE"/>
    <w:rsid w:val="00547C1C"/>
    <w:rsid w:val="00555E44"/>
    <w:rsid w:val="00576376"/>
    <w:rsid w:val="00593342"/>
    <w:rsid w:val="00594C0F"/>
    <w:rsid w:val="005A088B"/>
    <w:rsid w:val="005A6102"/>
    <w:rsid w:val="005A6C34"/>
    <w:rsid w:val="005C08F1"/>
    <w:rsid w:val="005C37F8"/>
    <w:rsid w:val="005C4744"/>
    <w:rsid w:val="005D147A"/>
    <w:rsid w:val="005D458B"/>
    <w:rsid w:val="005E007F"/>
    <w:rsid w:val="005E2090"/>
    <w:rsid w:val="005F64D3"/>
    <w:rsid w:val="005F7E4B"/>
    <w:rsid w:val="00604A6C"/>
    <w:rsid w:val="00612830"/>
    <w:rsid w:val="006129C1"/>
    <w:rsid w:val="00612D42"/>
    <w:rsid w:val="00613F75"/>
    <w:rsid w:val="00615C88"/>
    <w:rsid w:val="006272C0"/>
    <w:rsid w:val="00631C3A"/>
    <w:rsid w:val="0063460E"/>
    <w:rsid w:val="00636BDF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168F"/>
    <w:rsid w:val="006721FF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714B"/>
    <w:rsid w:val="006F32CA"/>
    <w:rsid w:val="006F6DF8"/>
    <w:rsid w:val="007001DB"/>
    <w:rsid w:val="00701DD1"/>
    <w:rsid w:val="00704915"/>
    <w:rsid w:val="00711DC2"/>
    <w:rsid w:val="00720EAD"/>
    <w:rsid w:val="00721F29"/>
    <w:rsid w:val="007228ED"/>
    <w:rsid w:val="00722C34"/>
    <w:rsid w:val="007265C2"/>
    <w:rsid w:val="00735164"/>
    <w:rsid w:val="00744428"/>
    <w:rsid w:val="00744AA2"/>
    <w:rsid w:val="007472CC"/>
    <w:rsid w:val="0074781F"/>
    <w:rsid w:val="0075294F"/>
    <w:rsid w:val="007633AC"/>
    <w:rsid w:val="0076517B"/>
    <w:rsid w:val="007719CD"/>
    <w:rsid w:val="007801D6"/>
    <w:rsid w:val="007910A3"/>
    <w:rsid w:val="00794A9F"/>
    <w:rsid w:val="007A562D"/>
    <w:rsid w:val="007C5342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E1B25"/>
    <w:rsid w:val="008E6B16"/>
    <w:rsid w:val="008F772D"/>
    <w:rsid w:val="00903CAA"/>
    <w:rsid w:val="009132BE"/>
    <w:rsid w:val="00914794"/>
    <w:rsid w:val="00916626"/>
    <w:rsid w:val="00921E8B"/>
    <w:rsid w:val="009227C4"/>
    <w:rsid w:val="009264BA"/>
    <w:rsid w:val="009321B4"/>
    <w:rsid w:val="0094053C"/>
    <w:rsid w:val="00945761"/>
    <w:rsid w:val="009512B7"/>
    <w:rsid w:val="009547F0"/>
    <w:rsid w:val="00956261"/>
    <w:rsid w:val="0097665F"/>
    <w:rsid w:val="00977A6B"/>
    <w:rsid w:val="00983C30"/>
    <w:rsid w:val="009A16B3"/>
    <w:rsid w:val="009A3463"/>
    <w:rsid w:val="009B4F16"/>
    <w:rsid w:val="009C5D51"/>
    <w:rsid w:val="009D1107"/>
    <w:rsid w:val="009E490F"/>
    <w:rsid w:val="009F05A8"/>
    <w:rsid w:val="00A11999"/>
    <w:rsid w:val="00A13B74"/>
    <w:rsid w:val="00A141F6"/>
    <w:rsid w:val="00A241DC"/>
    <w:rsid w:val="00A37510"/>
    <w:rsid w:val="00A40094"/>
    <w:rsid w:val="00A43B60"/>
    <w:rsid w:val="00A4562E"/>
    <w:rsid w:val="00A64098"/>
    <w:rsid w:val="00A6791A"/>
    <w:rsid w:val="00A72E36"/>
    <w:rsid w:val="00A76CD9"/>
    <w:rsid w:val="00A84B7E"/>
    <w:rsid w:val="00A938E2"/>
    <w:rsid w:val="00A949CE"/>
    <w:rsid w:val="00AB6177"/>
    <w:rsid w:val="00AD4BC7"/>
    <w:rsid w:val="00AF0F99"/>
    <w:rsid w:val="00AF5294"/>
    <w:rsid w:val="00AF5686"/>
    <w:rsid w:val="00AF5724"/>
    <w:rsid w:val="00B00DDD"/>
    <w:rsid w:val="00B01233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4954"/>
    <w:rsid w:val="00B74D63"/>
    <w:rsid w:val="00B81791"/>
    <w:rsid w:val="00B8445E"/>
    <w:rsid w:val="00B85030"/>
    <w:rsid w:val="00BA5B12"/>
    <w:rsid w:val="00BD4FC9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213D2"/>
    <w:rsid w:val="00C364E1"/>
    <w:rsid w:val="00C36859"/>
    <w:rsid w:val="00C43463"/>
    <w:rsid w:val="00C577E9"/>
    <w:rsid w:val="00C6291B"/>
    <w:rsid w:val="00C65520"/>
    <w:rsid w:val="00C6726F"/>
    <w:rsid w:val="00C72F7D"/>
    <w:rsid w:val="00C76A5B"/>
    <w:rsid w:val="00C912C1"/>
    <w:rsid w:val="00C936A0"/>
    <w:rsid w:val="00CA3DFB"/>
    <w:rsid w:val="00CB4E10"/>
    <w:rsid w:val="00CC0347"/>
    <w:rsid w:val="00CC5E54"/>
    <w:rsid w:val="00CD09D6"/>
    <w:rsid w:val="00CD3E11"/>
    <w:rsid w:val="00CD698D"/>
    <w:rsid w:val="00CE0526"/>
    <w:rsid w:val="00CE73E0"/>
    <w:rsid w:val="00D03695"/>
    <w:rsid w:val="00D03D13"/>
    <w:rsid w:val="00D042E1"/>
    <w:rsid w:val="00D0562A"/>
    <w:rsid w:val="00D062BA"/>
    <w:rsid w:val="00D0714B"/>
    <w:rsid w:val="00D14FA8"/>
    <w:rsid w:val="00D2740F"/>
    <w:rsid w:val="00D50FBF"/>
    <w:rsid w:val="00D54386"/>
    <w:rsid w:val="00D554C5"/>
    <w:rsid w:val="00D60CD5"/>
    <w:rsid w:val="00D6406E"/>
    <w:rsid w:val="00D649DA"/>
    <w:rsid w:val="00D66345"/>
    <w:rsid w:val="00D841A0"/>
    <w:rsid w:val="00D97605"/>
    <w:rsid w:val="00DA32E6"/>
    <w:rsid w:val="00DA367B"/>
    <w:rsid w:val="00DA41C0"/>
    <w:rsid w:val="00DA4DD7"/>
    <w:rsid w:val="00DA4FE7"/>
    <w:rsid w:val="00DB0A4B"/>
    <w:rsid w:val="00DB2291"/>
    <w:rsid w:val="00DC3D3E"/>
    <w:rsid w:val="00DC58A6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6A4"/>
    <w:rsid w:val="00E21CB6"/>
    <w:rsid w:val="00E2495C"/>
    <w:rsid w:val="00E30CE4"/>
    <w:rsid w:val="00E34CFC"/>
    <w:rsid w:val="00E415B4"/>
    <w:rsid w:val="00E444F0"/>
    <w:rsid w:val="00E548EC"/>
    <w:rsid w:val="00E60563"/>
    <w:rsid w:val="00E61D61"/>
    <w:rsid w:val="00E629FE"/>
    <w:rsid w:val="00E66CB3"/>
    <w:rsid w:val="00E72530"/>
    <w:rsid w:val="00E81E72"/>
    <w:rsid w:val="00E85CC5"/>
    <w:rsid w:val="00EA7ECC"/>
    <w:rsid w:val="00EB29E7"/>
    <w:rsid w:val="00EC1794"/>
    <w:rsid w:val="00EC5287"/>
    <w:rsid w:val="00EC7213"/>
    <w:rsid w:val="00ED25F2"/>
    <w:rsid w:val="00ED693F"/>
    <w:rsid w:val="00EE747E"/>
    <w:rsid w:val="00EF19DE"/>
    <w:rsid w:val="00F01068"/>
    <w:rsid w:val="00F27243"/>
    <w:rsid w:val="00F52598"/>
    <w:rsid w:val="00F61BFF"/>
    <w:rsid w:val="00F64C15"/>
    <w:rsid w:val="00F75E0D"/>
    <w:rsid w:val="00F9776B"/>
    <w:rsid w:val="00FA453D"/>
    <w:rsid w:val="00FA54C4"/>
    <w:rsid w:val="00FA6F99"/>
    <w:rsid w:val="00FB6662"/>
    <w:rsid w:val="00FC5F48"/>
    <w:rsid w:val="00FC7D31"/>
    <w:rsid w:val="00FD07FE"/>
    <w:rsid w:val="00FD446E"/>
    <w:rsid w:val="00FD7282"/>
    <w:rsid w:val="00FE3F1F"/>
    <w:rsid w:val="00FF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hangslyoz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customStyle="1" w:styleId="ListTable7Colorful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Normltblzat"/>
    <w:uiPriority w:val="46"/>
    <w:rsid w:val="008E1B2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tblzat"/>
    <w:uiPriority w:val="40"/>
    <w:rsid w:val="008E1B2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Normltblzat"/>
    <w:uiPriority w:val="43"/>
    <w:rsid w:val="00434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western">
    <w:name w:val="western"/>
    <w:basedOn w:val="Norml"/>
    <w:rsid w:val="00391648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hangslyoz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customStyle="1" w:styleId="ListTable7Colorful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western">
    <w:name w:val="western"/>
    <w:basedOn w:val="Norml"/>
    <w:rsid w:val="00391648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5EE59-1F9F-4978-AF26-2FD810866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2B2F5-FBB0-4233-A11D-54DEF582CA24}"/>
</file>

<file path=customXml/itemProps3.xml><?xml version="1.0" encoding="utf-8"?>
<ds:datastoreItem xmlns:ds="http://schemas.openxmlformats.org/officeDocument/2006/customXml" ds:itemID="{CD107070-1582-41DD-AD18-59C7AA909CED}"/>
</file>

<file path=customXml/itemProps4.xml><?xml version="1.0" encoding="utf-8"?>
<ds:datastoreItem xmlns:ds="http://schemas.openxmlformats.org/officeDocument/2006/customXml" ds:itemID="{4EC6CA50-09DF-41DD-AF86-C2ED1FEAF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1019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szigetvarikrisztian</cp:lastModifiedBy>
  <cp:revision>27</cp:revision>
  <dcterms:created xsi:type="dcterms:W3CDTF">2024-01-27T16:28:00Z</dcterms:created>
  <dcterms:modified xsi:type="dcterms:W3CDTF">2025-01-24T11:15:00Z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